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Prepare a Graduate School Application Plan</w:t>
      </w:r>
    </w:p>
    <w:p>
      <w:pPr>
        <w:spacing w:after="100"/>
      </w:pPr>
      <w:r>
        <w:t>60 minute lesson plan and facilitator teaching guide</w:t>
      </w:r>
    </w:p>
    <w:p>
      <w:pPr>
        <w:spacing w:after="100"/>
      </w:pPr>
      <w:r>
        <w:t>Career Journey phase  Pursue Your Post-graduate Goals</w:t>
      </w:r>
    </w:p>
    <w:p>
      <w:pPr>
        <w:spacing w:after="100"/>
      </w:pPr>
      <w:r>
        <w:t>Students connect their reasons for further study to program-specific requirements, draft evidence of preparation, and build an application timeline with alternatives.</w:t>
      </w:r>
    </w:p>
    <w:p>
      <w:pPr>
        <w:pStyle w:val="Heading2"/>
      </w:pPr>
      <w:r>
        <w:t>Learning objectives</w:t>
      </w:r>
    </w:p>
    <w:p>
      <w:pPr>
        <w:pStyle w:val="ListBullet"/>
      </w:pPr>
      <w:r>
        <w:t>Explain a learning or professional reason for considering graduate study.</w:t>
      </w:r>
    </w:p>
    <w:p>
      <w:pPr>
        <w:pStyle w:val="ListBullet"/>
      </w:pPr>
      <w:r>
        <w:t>Verify requirements and deadlines using actual program instructions.</w:t>
      </w:r>
    </w:p>
    <w:p>
      <w:pPr>
        <w:pStyle w:val="ListBullet"/>
      </w:pPr>
      <w:r>
        <w:t>Draft and revise an evidence paragraph tailored to an academic audience.</w:t>
      </w:r>
    </w:p>
    <w:p>
      <w:pPr>
        <w:pStyle w:val="ListBullet"/>
      </w:pPr>
      <w:r>
        <w:t>Plan next steps, alternative routes, and a date to reassess readiness.</w:t>
      </w:r>
    </w:p>
    <w:p>
      <w:pPr>
        <w:pStyle w:val="Heading2"/>
      </w:pPr>
      <w:r>
        <w:t>Session schedule</w:t>
      </w:r>
    </w:p>
    <w:tbl>
      <w:tblPr>
        <w:tblW w:type="auto" w:w="0"/>
        <w:tblLayout w:type="fixed"/>
        <w:tblLook w:firstColumn="1" w:firstRow="1" w:lastColumn="0" w:lastRow="0" w:noHBand="0" w:noVBand="1" w:val="04A0"/>
      </w:tblPr>
      <w:tblGrid>
        <w:gridCol w:w="936"/>
        <w:gridCol w:w="2448"/>
        <w:gridCol w:w="6840"/>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448"/>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6840"/>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Opening challenge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Try a task or make a choice before explanation.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Brief teaching and check</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key terms to explain a choice.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Analyze a shared case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Identify a gap and propose a better approach.</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20–35</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Create a first draft</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the planner and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35–50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Practice and revise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Exchange individual feedback and try again.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50–58</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Closing challenge</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Answer four questions and adapt the plan.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58–60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product and next action.</w:t>
            </w:r>
          </w:p>
        </w:tc>
      </w:tr>
    </w:tbl>
    <w:p>
      <w:pPr>
        <w:pStyle w:val="Heading2"/>
      </w:pPr>
      <w:r>
        <w:t>Preparation and materials</w:t>
      </w:r>
    </w:p>
    <w:p>
      <w:pPr>
        <w:spacing w:after="100"/>
      </w:pPr>
      <w:r>
        <w:t>Read this guide and the linked resources before teaching. Rehearse the worked example. Print the Student planner and make the key terms and feedback checklist available. Prepare a timer, writing space, and A/B/C/D response method. Slides and paid tools are not required. Keep the instructor answer key separate from student materials.</w:t>
      </w:r>
    </w:p>
    <w:p>
      <w:pPr>
        <w:pStyle w:val="Heading1"/>
        <w:pageBreakBefore/>
      </w:pPr>
      <w:r>
        <w:t>Background for a first time facilitator</w:t>
      </w:r>
    </w:p>
    <w:p>
      <w:pPr>
        <w:spacing w:after="100"/>
      </w:pPr>
      <w:r>
        <w:t>Read these terms before class. Introduce them with a short example rather than assuming students know the vocabulary. The teaching suggestions and fictional cases are instructional adaptations, not records of actual outcomes.</w:t>
      </w:r>
    </w:p>
    <w:tbl>
      <w:tblPr>
        <w:tblW w:type="auto" w:w="0"/>
        <w:tblLayout w:type="fixed"/>
        <w:tblLook w:firstColumn="1" w:firstRow="1" w:lastColumn="0" w:lastRow="0" w:noHBand="0" w:noVBand="1" w:val="04A0"/>
      </w:tblPr>
      <w:tblGrid>
        <w:gridCol w:w="2232"/>
        <w:gridCol w:w="7992"/>
      </w:tblGrid>
      <w:tr>
        <w:trPr>
          <w:cantSplit/>
          <w:tblHeader/>
        </w:trPr>
        <w:tc>
          <w:tcPr>
            <w:tcW w:type="dxa" w:w="2232"/>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7992"/>
            <w:tcBorders>
              <w:top w:val="single" w:sz="4" w:color="D9D9D9"/>
              <w:bottom w:val="single" w:sz="4" w:color="D9D9D9"/>
              <w:left w:val="single" w:sz="4" w:color="D9D9D9"/>
              <w:right w:val="single" w:sz="4" w:color="D9D9D9"/>
            </w:tcBorders>
            <w:shd w:fill="E6EBEE"/>
          </w:tcPr>
          <w:p>
            <w:pPr>
              <w:spacing w:before="80" w:after="80"/>
            </w:pPr>
            <w:r>
              <w:rPr>
                <w:b/>
                <w:sz w:val="18"/>
              </w:rPr>
              <w:t>What it means</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Program fit</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 connection between your learning goals and a program’s actual curriculum, methods, supervision, or opportunities.</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Requirement</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An instruction set by the particular program; tests, documents, and dates vary.</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Personal statement</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An application response whose purpose and content depend on the actual prompt.</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Evidence of preparation</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Specific learning, inquiry, contributions, and reflection supporting readiness for further study.</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Backward timeline</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 schedule built from the verified deadline back to preparation steps and dependencies.</w:t>
            </w:r>
          </w:p>
        </w:tc>
      </w:tr>
    </w:tbl>
    <w:p>
      <w:pPr>
        <w:pStyle w:val="Heading2"/>
      </w:pPr>
      <w:r>
        <w:t>A short explanation you can use</w:t>
      </w:r>
    </w:p>
    <w:p>
      <w:pPr>
        <w:keepNext/>
        <w:spacing w:after="20" w:before="100"/>
      </w:pPr>
      <w:r>
        <w:rPr>
          <w:b/>
          <w:sz w:val="19"/>
        </w:rPr>
        <w:t>Say to students:</w:t>
      </w:r>
    </w:p>
    <w:p>
      <w:pPr>
        <w:keepLines/>
        <w:spacing w:after="100"/>
        <w:ind w:left="216"/>
      </w:pPr>
      <w:r>
        <w:t>“Graduate-school planning starts with purpose and program fit, then moves to the actual application process. Read each program’s instructions; do not assume every program requires the same test or document. Explain what your experience taught you and why it prepares you for the academic work you seek. Plan time for drafts, feedback, recommendations, and submission checks.”</w:t>
      </w:r>
    </w:p>
    <w:p>
      <w:pPr>
        <w:pStyle w:val="Heading2"/>
      </w:pPr>
      <w:r>
        <w:t>A worked response</w:t>
      </w:r>
    </w:p>
    <w:p>
      <w:pPr>
        <w:spacing w:after="100"/>
      </w:pPr>
      <w:r>
        <w:t>In a class policy project, I compared evidence from several sources and revised an argument after feedback exposed a weak assumption. I learned to separate the strength of a claim from my initial preference. I want to develop more rigorous policy-evaluation methods through further study. I would connect this preparation to a verified feature of the specific program rather than add a generic claim of fit.</w:t>
      </w:r>
    </w:p>
    <w:p>
      <w:pPr>
        <w:pStyle w:val="Heading2"/>
      </w:pPr>
      <w:r>
        <w:t>What to look for</w:t>
      </w:r>
    </w:p>
    <w:p>
      <w:pPr>
        <w:spacing w:after="100"/>
      </w:pPr>
      <w:r>
        <w:t>A useful response explains a choice with evidence and identifies what remains uncertain. An activity completed without interpretation, practice, or feedback does not demonstrate the full purpose of the lesson.</w:t>
      </w:r>
    </w:p>
    <w:p>
      <w:pPr>
        <w:pStyle w:val="Heading1"/>
        <w:pageBreakBefore/>
      </w:pPr>
      <w:r>
        <w:t>Facilitate the opening and teaching</w:t>
      </w:r>
    </w:p>
    <w:p>
      <w:pPr>
        <w:pStyle w:val="Heading2"/>
      </w:pPr>
      <w:r>
        <w:t>0 to 5 minutes Opening challenge</w:t>
      </w:r>
    </w:p>
    <w:p>
      <w:pPr>
        <w:keepNext/>
        <w:spacing w:after="20" w:before="100"/>
      </w:pPr>
      <w:r>
        <w:rPr>
          <w:b/>
          <w:sz w:val="19"/>
        </w:rPr>
        <w:t>Facilitator actions:</w:t>
      </w:r>
    </w:p>
    <w:p>
      <w:pPr>
        <w:keepLines/>
        <w:spacing w:after="100"/>
        <w:ind w:left="216"/>
      </w:pPr>
      <w:r>
        <w:t>Read the prompt below. Give one minute to think, two minutes for partners to try it, and two minutes to hear two observations. Start with participation before explaining the framework.</w:t>
      </w:r>
    </w:p>
    <w:p>
      <w:pPr>
        <w:keepNext/>
        <w:spacing w:after="20" w:before="100"/>
      </w:pPr>
      <w:r>
        <w:rPr>
          <w:b/>
          <w:sz w:val="19"/>
        </w:rPr>
        <w:t>Say to students:</w:t>
      </w:r>
    </w:p>
    <w:p>
      <w:pPr>
        <w:keepLines/>
        <w:spacing w:after="100"/>
        <w:ind w:left="216"/>
      </w:pPr>
      <w:r>
        <w:t>“Complete two sentences: “Further study might help me learn or do ___” and “Before applying, I need to find out ___.” Compare with a partner. Using a fictional goal is fine; deciding against immediate study is also an outcome.”</w:t>
      </w:r>
    </w:p>
    <w:p>
      <w:pPr>
        <w:keepNext/>
        <w:spacing w:after="20" w:before="100"/>
      </w:pPr>
      <w:r>
        <w:rPr>
          <w:b/>
          <w:sz w:val="19"/>
        </w:rPr>
        <w:t>Ask students:</w:t>
      </w:r>
    </w:p>
    <w:p>
      <w:pPr>
        <w:keepLines/>
        <w:spacing w:after="100"/>
        <w:ind w:left="216"/>
      </w:pPr>
      <w:r>
        <w:t>“What did you notice, and what would help you improve your next attempt?”</w:t>
      </w:r>
    </w:p>
    <w:p>
      <w:pPr>
        <w:keepNext/>
        <w:spacing w:after="20" w:before="100"/>
      </w:pPr>
      <w:r>
        <w:rPr>
          <w:b/>
          <w:sz w:val="19"/>
        </w:rPr>
        <w:t>Expected responses:</w:t>
      </w:r>
    </w:p>
    <w:p>
      <w:pPr>
        <w:keepLines/>
        <w:spacing w:after="100"/>
        <w:ind w:left="216"/>
      </w:pPr>
      <w:r>
        <w:t>A specific observation about the task, a choice, or a gap in information.</w:t>
      </w:r>
    </w:p>
    <w:p>
      <w:pPr>
        <w:keepNext/>
        <w:spacing w:after="20" w:before="100"/>
      </w:pPr>
      <w:r>
        <w:rPr>
          <w:b/>
          <w:sz w:val="19"/>
        </w:rPr>
        <w:t>If students need support:</w:t>
      </w:r>
    </w:p>
    <w:p>
      <w:pPr>
        <w:keepLines/>
        <w:spacing w:after="100"/>
        <w:ind w:left="216"/>
      </w:pPr>
      <w:r>
        <w:t>For “I want any graduate degree,” ask what learning or professional goal requires further investigation. For generic praise of a university, ask which verified feature connects to the student’s goals. For uncertain requirements, consult the program’s official admissions source; do not guess. Never require public disclosure of finances, grades, or personal history.</w:t>
      </w:r>
    </w:p>
    <w:p>
      <w:pPr>
        <w:keepNext/>
        <w:spacing w:after="20" w:before="100"/>
      </w:pPr>
      <w:r>
        <w:rPr>
          <w:b/>
          <w:sz w:val="19"/>
        </w:rPr>
        <w:t>Transition to the next activity:</w:t>
      </w:r>
    </w:p>
    <w:p>
      <w:pPr>
        <w:keepLines/>
        <w:spacing w:after="100"/>
        <w:ind w:left="216"/>
      </w:pPr>
      <w:r>
        <w:t>“Let us add language and a method that can help with the next attempt.”</w:t>
      </w:r>
    </w:p>
    <w:p>
      <w:pPr>
        <w:pStyle w:val="Heading2"/>
      </w:pPr>
      <w:r>
        <w:t>5 to 12 minutes Brief teaching and check</w:t>
      </w:r>
    </w:p>
    <w:p>
      <w:pPr>
        <w:keepNext/>
        <w:spacing w:after="20" w:before="100"/>
      </w:pPr>
      <w:r>
        <w:rPr>
          <w:b/>
          <w:sz w:val="19"/>
        </w:rPr>
        <w:t>Facilitator actions:</w:t>
      </w:r>
    </w:p>
    <w:p>
      <w:pPr>
        <w:keepLines/>
        <w:spacing w:after="100"/>
        <w:ind w:left="216"/>
      </w:pPr>
      <w:r>
        <w:t>Use three minutes to explain the key terms and short explanation from the Background section. Give pairs two minutes to apply two terms to their opening response. Use two minutes to hear examples and correct a misconception.</w:t>
      </w:r>
    </w:p>
    <w:p>
      <w:pPr>
        <w:keepNext/>
        <w:spacing w:after="20" w:before="100"/>
      </w:pPr>
      <w:r>
        <w:rPr>
          <w:b/>
          <w:sz w:val="19"/>
        </w:rPr>
        <w:t>Say to students:</w:t>
      </w:r>
    </w:p>
    <w:p>
      <w:pPr>
        <w:keepLines/>
        <w:spacing w:after="100"/>
        <w:ind w:left="216"/>
      </w:pPr>
      <w:r>
        <w:t>“Use two of these ideas to explain what you would change in your opening response. What would make that change useful?”</w:t>
      </w:r>
    </w:p>
    <w:p>
      <w:pPr>
        <w:keepNext/>
        <w:spacing w:after="20" w:before="100"/>
      </w:pPr>
      <w:r>
        <w:rPr>
          <w:b/>
          <w:sz w:val="19"/>
        </w:rPr>
        <w:t>Expected responses:</w:t>
      </w:r>
    </w:p>
    <w:p>
      <w:pPr>
        <w:keepLines/>
        <w:spacing w:after="100"/>
        <w:ind w:left="216"/>
      </w:pPr>
      <w:r>
        <w:t>A term used accurately, with a reason rather than only a definition.</w:t>
      </w:r>
    </w:p>
    <w:p>
      <w:pPr>
        <w:keepNext/>
        <w:spacing w:after="20" w:before="100"/>
      </w:pPr>
      <w:r>
        <w:rPr>
          <w:b/>
          <w:sz w:val="19"/>
        </w:rPr>
        <w:t>If students need support:</w:t>
      </w:r>
    </w:p>
    <w:p>
      <w:pPr>
        <w:keepLines/>
        <w:spacing w:after="100"/>
        <w:ind w:left="216"/>
      </w:pPr>
      <w:r>
        <w:t>Point to the worked response and ask which detail illustrates the term. Explain one distinction before asking students to try again.</w:t>
      </w:r>
    </w:p>
    <w:p>
      <w:pPr>
        <w:keepNext/>
        <w:spacing w:after="20" w:before="100"/>
      </w:pPr>
      <w:r>
        <w:rPr>
          <w:b/>
          <w:sz w:val="19"/>
        </w:rPr>
        <w:t>Transition to the next activity:</w:t>
      </w:r>
    </w:p>
    <w:p>
      <w:pPr>
        <w:keepLines/>
        <w:spacing w:after="100"/>
        <w:ind w:left="216"/>
      </w:pPr>
      <w:r>
        <w:t>“We will test the method on a shared example before you create your own plan.”</w:t>
      </w:r>
    </w:p>
    <w:p>
      <w:pPr>
        <w:pStyle w:val="Heading1"/>
        <w:pageBreakBefore/>
      </w:pPr>
      <w:r>
        <w:t>Analyze a case and build a first draft</w:t>
      </w:r>
    </w:p>
    <w:p>
      <w:pPr>
        <w:pStyle w:val="Heading2"/>
      </w:pPr>
      <w:r>
        <w:t>12 to 20 minutes Shared case</w:t>
      </w:r>
    </w:p>
    <w:p>
      <w:pPr>
        <w:keepNext/>
        <w:spacing w:after="20" w:before="100"/>
      </w:pPr>
      <w:r>
        <w:rPr>
          <w:b/>
          <w:sz w:val="19"/>
        </w:rPr>
        <w:t>Read aloud:</w:t>
      </w:r>
    </w:p>
    <w:p>
      <w:pPr>
        <w:keepLines/>
        <w:spacing w:after="100"/>
        <w:ind w:left="216"/>
      </w:pPr>
      <w:r>
        <w:t>Jordan wants to study environmental policy, copies a generic statement about leadership, and assumes two programs share a deadline and test requirement. Jordan’s class project involved evaluating evidence and revising a policy argument, but the statement never explains that preparation or the programs’ differences.</w:t>
      </w:r>
    </w:p>
    <w:p>
      <w:pPr>
        <w:keepNext/>
        <w:spacing w:after="20" w:before="100"/>
      </w:pPr>
      <w:r>
        <w:rPr>
          <w:b/>
          <w:sz w:val="19"/>
        </w:rPr>
        <w:t>Facilitator actions:</w:t>
      </w:r>
    </w:p>
    <w:p>
      <w:pPr>
        <w:keepLines/>
        <w:spacing w:after="100"/>
        <w:ind w:left="216"/>
      </w:pPr>
      <w:r>
        <w:t>Give pairs three minutes to identify a gap and recommend a change. Use three minutes to hear two recommendations and explain the answer guidance. Spend the final two minutes modeling a revised response or the worked example.</w:t>
      </w:r>
    </w:p>
    <w:p>
      <w:pPr>
        <w:keepNext/>
        <w:spacing w:after="20" w:before="100"/>
      </w:pPr>
      <w:r>
        <w:rPr>
          <w:b/>
          <w:sz w:val="19"/>
        </w:rPr>
        <w:t>Ask students:</w:t>
      </w:r>
    </w:p>
    <w:p>
      <w:pPr>
        <w:keepLines/>
        <w:spacing w:after="100"/>
        <w:ind w:left="216"/>
      </w:pPr>
      <w:r>
        <w:t>“What is missing? What evidence or information would help? What would you change first?”</w:t>
      </w:r>
    </w:p>
    <w:p>
      <w:pPr>
        <w:keepNext/>
        <w:spacing w:after="20" w:before="100"/>
      </w:pPr>
      <w:r>
        <w:rPr>
          <w:b/>
          <w:sz w:val="19"/>
        </w:rPr>
        <w:t>Answer guidance:</w:t>
      </w:r>
    </w:p>
    <w:p>
      <w:pPr>
        <w:keepLines/>
        <w:spacing w:after="100"/>
        <w:ind w:left="216"/>
      </w:pPr>
      <w:r>
        <w:t>Check each official program page and record its prompt, requirements, deadline, and unresolved questions. Use the project to explain inquiry, revision, and learning connected to academic interests. A leadership label alone does not establish program fit. Requirements not confirmed should be marked as questions, not treated as facts.</w:t>
      </w:r>
    </w:p>
    <w:p>
      <w:pPr>
        <w:pStyle w:val="Heading2"/>
      </w:pPr>
      <w:r>
        <w:t>20 to 35 minutes Main activity</w:t>
      </w:r>
    </w:p>
    <w:p>
      <w:pPr>
        <w:keepNext/>
        <w:spacing w:after="20" w:before="100"/>
      </w:pPr>
      <w:r>
        <w:rPr>
          <w:b/>
          <w:sz w:val="19"/>
        </w:rPr>
        <w:t>Facilitator actions:</w:t>
      </w:r>
    </w:p>
    <w:p>
      <w:pPr>
        <w:keepLines/>
        <w:spacing w:after="100"/>
        <w:ind w:left="216"/>
      </w:pPr>
      <w:r>
        <w:t>Use the Graduate application planner. Spend four minutes choosing a program or fictional example and verifying instructions, five drafting an evidence paragraph, three building a backward timeline, and three identifying alternatives. If using a fictional program, clearly label its requirements as exercise data rather than guidance for an actual institution.</w:t>
      </w:r>
    </w:p>
    <w:p>
      <w:pPr>
        <w:keepNext/>
        <w:spacing w:after="20" w:before="100"/>
      </w:pPr>
      <w:r>
        <w:rPr>
          <w:b/>
          <w:sz w:val="19"/>
        </w:rPr>
        <w:t>Say to students:</w:t>
      </w:r>
    </w:p>
    <w:p>
      <w:pPr>
        <w:keepLines/>
        <w:spacing w:after="100"/>
        <w:ind w:left="216"/>
      </w:pPr>
      <w:r>
        <w:t>“Create a first draft using the planner. Mark anything you do not know instead of inventing a fact. You will receive feedback and revise.”</w:t>
      </w:r>
    </w:p>
    <w:p>
      <w:pPr>
        <w:keepNext/>
        <w:spacing w:after="20" w:before="100"/>
      </w:pPr>
      <w:r>
        <w:rPr>
          <w:b/>
          <w:sz w:val="19"/>
        </w:rPr>
        <w:t>Coaching guidance:</w:t>
      </w:r>
    </w:p>
    <w:p>
      <w:pPr>
        <w:keepLines/>
        <w:spacing w:after="100"/>
        <w:ind w:left="216"/>
      </w:pPr>
      <w:r>
        <w:t>For “I want any graduate degree,” ask what learning or professional goal requires further investigation. For generic praise of a university, ask which verified feature connects to the student’s goals. For uncertain requirements, consult the program’s official admissions source; do not guess. Never require public disclosure of finances, grades, or personal history.</w:t>
      </w:r>
    </w:p>
    <w:p>
      <w:pPr>
        <w:keepNext/>
        <w:spacing w:after="20" w:before="100"/>
      </w:pPr>
      <w:r>
        <w:rPr>
          <w:b/>
          <w:sz w:val="19"/>
        </w:rPr>
        <w:t>Transition to the next activity:</w:t>
      </w:r>
    </w:p>
    <w:p>
      <w:pPr>
        <w:keepLines/>
        <w:spacing w:after="100"/>
        <w:ind w:left="216"/>
      </w:pPr>
      <w:r>
        <w:t>“Choose the part of your draft you most want a listener to test.”</w:t>
      </w:r>
    </w:p>
    <w:p>
      <w:pPr>
        <w:pStyle w:val="Heading1"/>
        <w:pageBreakBefore/>
      </w:pPr>
      <w:r>
        <w:t>Practice give feedback and reinforce learning</w:t>
      </w:r>
    </w:p>
    <w:p>
      <w:pPr>
        <w:pStyle w:val="Heading2"/>
      </w:pPr>
      <w:r>
        <w:t>35 to 50 minutes Individual feedback and revision</w:t>
      </w:r>
    </w:p>
    <w:p>
      <w:pPr>
        <w:keepNext/>
        <w:spacing w:after="20" w:before="100"/>
      </w:pPr>
      <w:r>
        <w:rPr>
          <w:b/>
          <w:sz w:val="19"/>
        </w:rPr>
        <w:t>Facilitator actions:</w:t>
      </w:r>
    </w:p>
    <w:p>
      <w:pPr>
        <w:keepLines/>
        <w:spacing w:after="100"/>
        <w:ind w:left="216"/>
      </w:pPr>
      <w:r>
        <w:t>35–39: Partner A explains or role-plays the draft for two minutes; Partner B gives two minutes of specific feedback using the checklist below. 39–43: Swap. 43–46: Both revise. 46–50: Each gives a two-minute revised attempt. Use the role instructions below for the listener.</w:t>
      </w:r>
    </w:p>
    <w:p>
      <w:pPr>
        <w:keepNext/>
        <w:spacing w:after="20" w:before="100"/>
      </w:pPr>
      <w:r>
        <w:rPr>
          <w:b/>
          <w:sz w:val="19"/>
        </w:rPr>
        <w:t>Say to students:</w:t>
      </w:r>
    </w:p>
    <w:p>
      <w:pPr>
        <w:keepLines/>
        <w:spacing w:after="100"/>
        <w:ind w:left="216"/>
      </w:pPr>
      <w:r>
        <w:t>“Identify one detail that works, one question you still have, and one change the speaker can make. Respond to the actual draft, then listen for the change in the second attempt.”</w:t>
      </w:r>
    </w:p>
    <w:p>
      <w:pPr>
        <w:spacing w:after="100"/>
      </w:pPr>
      <w:r>
        <w:t>Listener role: Act as a reviewer or advisor. Ask the speaker to explain their reasoning and point out information that needs clarification.</w:t>
      </w:r>
    </w:p>
    <w:tbl>
      <w:tblPr>
        <w:tblW w:type="auto" w:w="0"/>
        <w:tblLayout w:type="fixed"/>
        <w:tblLook w:firstColumn="1" w:firstRow="1" w:lastColumn="0" w:lastRow="0" w:noHBand="0" w:noVBand="1" w:val="04A0"/>
      </w:tblPr>
      <w:tblGrid>
        <w:gridCol w:w="864"/>
        <w:gridCol w:w="9360"/>
      </w:tblGrid>
      <w:tr>
        <w:trPr>
          <w:cantSplit/>
          <w:tblHeader/>
        </w:trPr>
        <w:tc>
          <w:tcPr>
            <w:tcW w:type="dxa" w:w="864"/>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9360"/>
            <w:tcBorders>
              <w:top w:val="single" w:sz="4" w:color="D9D9D9"/>
              <w:bottom w:val="single" w:sz="4" w:color="D9D9D9"/>
              <w:left w:val="single" w:sz="4" w:color="D9D9D9"/>
              <w:right w:val="single" w:sz="4" w:color="D9D9D9"/>
            </w:tcBorders>
            <w:shd w:fill="E6EBEE"/>
          </w:tcPr>
          <w:p>
            <w:pPr>
              <w:spacing w:before="80" w:after="80"/>
            </w:pPr>
            <w:r>
              <w:rPr>
                <w:b/>
                <w:sz w:val="18"/>
              </w:rPr>
              <w:t>Question for the listener</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1</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Does the paragraph answer the actual prompt?</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2</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Is the student’s contribution and learning specific?</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3</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Is the academic connection supported by verified program information?</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4</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Are requirements, dependencies, and alternative routes visible?</w:t>
            </w:r>
          </w:p>
        </w:tc>
      </w:tr>
    </w:tbl>
    <w:p>
      <w:pPr>
        <w:spacing w:after="100"/>
      </w:pPr>
      <w:r>
        <w:t>Feedback sentence: “The detail ___ helped because ___. I still need to understand ___. Try changing ___.”</w:t>
      </w:r>
    </w:p>
    <w:p>
      <w:pPr>
        <w:pStyle w:val="Heading2"/>
      </w:pPr>
      <w:r>
        <w:t>50 to 58 minutes Closing challenge</w:t>
      </w:r>
    </w:p>
    <w:p>
      <w:pPr>
        <w:spacing w:after="100"/>
      </w:pPr>
      <w:r>
        <w:t>Use four quiz questions from the instructor key: allow about 30 seconds to choose and 30 seconds to explain each answer, four minutes total. Then use four minutes for an adaptation challenge: two minutes to write a change and two minutes to compare with a partner.</w:t>
      </w:r>
    </w:p>
    <w:p>
      <w:pPr>
        <w:keepNext/>
        <w:spacing w:after="20" w:before="100"/>
      </w:pPr>
      <w:r>
        <w:rPr>
          <w:b/>
          <w:sz w:val="19"/>
        </w:rPr>
        <w:t>Adaptation prompt:</w:t>
      </w:r>
    </w:p>
    <w:p>
      <w:pPr>
        <w:keepLines/>
        <w:spacing w:after="100"/>
        <w:ind w:left="216"/>
      </w:pPr>
      <w:r>
        <w:t>“Your preferred opportunity is paused or its requirements change. Use your Plan B or adjacent route to choose a next action while preserving what matters to you. Explain how a first destination could support later movement.”</w:t>
      </w:r>
    </w:p>
    <w:p>
      <w:pPr>
        <w:pStyle w:val="Heading2"/>
      </w:pPr>
      <w:r>
        <w:t>58 to 60 minutes Exit commitment</w:t>
      </w:r>
    </w:p>
    <w:p>
      <w:pPr>
        <w:spacing w:after="100"/>
      </w:pPr>
      <w:r>
        <w:t>Collect the revised planner, one change made after feedback, and a specific next step with a date. Ask students to name a resource or person they will consult. Close with: “Use what you learned today, check what you still do not know, and revisit the plan after you act.”</w:t>
      </w:r>
    </w:p>
    <w:p>
      <w:pPr>
        <w:pStyle w:val="Heading1"/>
        <w:pageBreakBefore/>
      </w:pPr>
      <w:r>
        <w:t>Student planner</w:t>
      </w:r>
    </w:p>
    <w:p>
      <w:pPr>
        <w:spacing w:after="100"/>
      </w:pPr>
      <w:r>
        <w:t>Prepare a Graduate School Application Plan</w:t>
      </w:r>
    </w:p>
    <w:p>
      <w:pPr>
        <w:spacing w:after="100"/>
      </w:pPr>
      <w:r>
        <w:t>Name ______________________________  Date __________________</w:t>
      </w:r>
    </w:p>
    <w:p>
      <w:pPr>
        <w:spacing w:after="100"/>
      </w:pPr>
      <w:r>
        <w:t>Use your own situation or the fictional case. You may anonymize details. Use a separate document if you need more room.</w:t>
      </w:r>
    </w:p>
    <w:p>
      <w:pPr>
        <w:pStyle w:val="Heading2"/>
      </w:pPr>
      <w:r>
        <w:t>1  Planning prompt</w:t>
      </w:r>
    </w:p>
    <w:p>
      <w:pPr>
        <w:spacing w:after="100"/>
      </w:pPr>
      <w:r>
        <w:t>Why further study, and why this field or program? Identify a curriculum, method, or academic interest to verify.</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Planning prompt</w:t>
      </w:r>
    </w:p>
    <w:p>
      <w:pPr>
        <w:spacing w:after="100"/>
      </w:pPr>
      <w:r>
        <w:t>Record the official program URL, date checked, prompt, deadline, materials, and any test or recommendation requirements. Mark unknowns.</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Planning prompt</w:t>
      </w:r>
    </w:p>
    <w:p>
      <w:pPr>
        <w:spacing w:after="100"/>
      </w:pPr>
      <w:r>
        <w:t>Describe one preparation experience: your contribution, what you learned, and its relevance to further study. Draft a paragraph answering the actual prompt.</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Planning prompt</w:t>
      </w:r>
    </w:p>
    <w:p>
      <w:pPr>
        <w:spacing w:after="100"/>
      </w:pPr>
      <w:r>
        <w:t>Build a timeline for verification, requesting recommendations, drafts, feedback, and final checks. Identify dependencies and a person to consult.</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Planning prompt</w:t>
      </w:r>
    </w:p>
    <w:p>
      <w:pPr>
        <w:spacing w:after="100"/>
      </w:pPr>
      <w:r>
        <w:t>Plan A, another program or timing option, and an adjacent work or learning route. What would prompt reassessing readiness or plans?</w:t>
      </w:r>
    </w:p>
    <w:p>
      <w:pPr>
        <w:spacing w:after="100"/>
      </w:pPr>
      <w:r>
        <w:t>________________________________________________________________________________</w:t>
      </w:r>
    </w:p>
    <w:p>
      <w:pPr>
        <w:spacing w:after="100"/>
      </w:pPr>
      <w:r>
        <w:t>________________________________________________________________________________</w:t>
      </w:r>
    </w:p>
    <w:p>
      <w:pPr>
        <w:spacing w:after="100"/>
      </w:pPr>
      <w:r>
        <w:t>After feedback, the change I made was _______________________________________</w:t>
      </w:r>
    </w:p>
    <w:p>
      <w:pPr>
        <w:spacing w:after="100"/>
      </w:pPr>
      <w:r>
        <w:t>My next action and date __________________________________________________</w:t>
      </w:r>
    </w:p>
    <w:p>
      <w:pPr>
        <w:pStyle w:val="Heading1"/>
        <w:pageBreakBefore/>
      </w:pPr>
      <w:r>
        <w:t>Closing quiz instructor key</w:t>
      </w:r>
    </w:p>
    <w:p>
      <w:pPr>
        <w:spacing w:after="100"/>
      </w:pPr>
      <w:r>
        <w:t>Use these questions in Kahoot or read them aloud with A/B/C/D responses. The correct answers and explanations are for the facilitator. No live Kahoot game is included.</w:t>
      </w:r>
    </w:p>
    <w:p>
      <w:pPr>
        <w:spacing w:after="100"/>
      </w:pPr>
      <w:r>
        <w:rPr>
          <w:b/>
        </w:rPr>
        <w:t>1  Which source determines a program’s application requirements?</w:t>
      </w:r>
    </w:p>
    <w:p>
      <w:pPr>
        <w:spacing w:after="20"/>
        <w:ind w:left="216"/>
      </w:pPr>
      <w:r>
        <w:t>A  A friend’s requirements elsewhere</w:t>
      </w:r>
    </w:p>
    <w:p>
      <w:pPr>
        <w:spacing w:after="20"/>
        <w:ind w:left="216"/>
      </w:pPr>
      <w:r>
        <w:t>B  An old generic checklist</w:t>
      </w:r>
    </w:p>
    <w:p>
      <w:pPr>
        <w:spacing w:after="20"/>
        <w:ind w:left="216"/>
      </w:pPr>
      <w:r>
        <w:t>C  That program’s current official instructions</w:t>
      </w:r>
    </w:p>
    <w:p>
      <w:pPr>
        <w:spacing w:after="20"/>
        <w:ind w:left="216"/>
      </w:pPr>
      <w:r>
        <w:t>D  The same rules for every field</w:t>
      </w:r>
    </w:p>
    <w:p>
      <w:pPr>
        <w:spacing w:after="100"/>
      </w:pPr>
      <w:r>
        <w:rPr>
          <w:b/>
        </w:rPr>
        <w:t>Correct answer  C — Requirements are program-specific and should be verified.</w:t>
      </w:r>
    </w:p>
    <w:p>
      <w:pPr>
        <w:spacing w:after="100"/>
      </w:pPr>
      <w:r>
        <w:rPr>
          <w:b/>
        </w:rPr>
        <w:t>2  Which paragraph best supports academic readiness?</w:t>
      </w:r>
    </w:p>
    <w:p>
      <w:pPr>
        <w:spacing w:after="20"/>
        <w:ind w:left="216"/>
      </w:pPr>
      <w:r>
        <w:t>A  Specific contribution and learning connected to academic goals</w:t>
      </w:r>
    </w:p>
    <w:p>
      <w:pPr>
        <w:spacing w:after="20"/>
        <w:ind w:left="216"/>
      </w:pPr>
      <w:r>
        <w:t>B  A list of flattering adjectives</w:t>
      </w:r>
    </w:p>
    <w:p>
      <w:pPr>
        <w:spacing w:after="20"/>
        <w:ind w:left="216"/>
      </w:pPr>
      <w:r>
        <w:t>C  An invented research result</w:t>
      </w:r>
    </w:p>
    <w:p>
      <w:pPr>
        <w:spacing w:after="20"/>
        <w:ind w:left="216"/>
      </w:pPr>
      <w:r>
        <w:t>D  An unrelated generic pitch</w:t>
      </w:r>
    </w:p>
    <w:p>
      <w:pPr>
        <w:spacing w:after="100"/>
      </w:pPr>
      <w:r>
        <w:rPr>
          <w:b/>
        </w:rPr>
        <w:t>Correct answer  A — The reader needs evidence and a relevant connection.</w:t>
      </w:r>
    </w:p>
    <w:p>
      <w:pPr>
        <w:spacing w:after="100"/>
      </w:pPr>
      <w:r>
        <w:rPr>
          <w:b/>
        </w:rPr>
        <w:t>3  What belongs in a backward timeline?</w:t>
      </w:r>
    </w:p>
    <w:p>
      <w:pPr>
        <w:spacing w:after="20"/>
        <w:ind w:left="216"/>
      </w:pPr>
      <w:r>
        <w:t>A  Only the final deadline</w:t>
      </w:r>
    </w:p>
    <w:p>
      <w:pPr>
        <w:spacing w:after="20"/>
        <w:ind w:left="216"/>
      </w:pPr>
      <w:r>
        <w:t>B  Preparation steps, dependencies, feedback, and verified dates</w:t>
      </w:r>
    </w:p>
    <w:p>
      <w:pPr>
        <w:spacing w:after="20"/>
        <w:ind w:left="216"/>
      </w:pPr>
      <w:r>
        <w:t>C  An assumed testing rule</w:t>
      </w:r>
    </w:p>
    <w:p>
      <w:pPr>
        <w:spacing w:after="20"/>
        <w:ind w:left="216"/>
      </w:pPr>
      <w:r>
        <w:t>D  A promise of admission</w:t>
      </w:r>
    </w:p>
    <w:p>
      <w:pPr>
        <w:spacing w:after="100"/>
      </w:pPr>
      <w:r>
        <w:rPr>
          <w:b/>
        </w:rPr>
        <w:t>Correct answer  B — Applications involve linked steps before submission.</w:t>
      </w:r>
    </w:p>
    <w:p>
      <w:pPr>
        <w:spacing w:after="100"/>
      </w:pPr>
      <w:r>
        <w:rPr>
          <w:b/>
        </w:rPr>
        <w:t>4  What does an alternative route accomplish?</w:t>
      </w:r>
    </w:p>
    <w:p>
      <w:pPr>
        <w:spacing w:after="20"/>
        <w:ind w:left="216"/>
      </w:pPr>
      <w:r>
        <w:t>A  Guarantees admission</w:t>
      </w:r>
    </w:p>
    <w:p>
      <w:pPr>
        <w:spacing w:after="20"/>
        <w:ind w:left="216"/>
      </w:pPr>
      <w:r>
        <w:t>B  Proves the original goal was wrong</w:t>
      </w:r>
    </w:p>
    <w:p>
      <w:pPr>
        <w:spacing w:after="20"/>
        <w:ind w:left="216"/>
      </w:pPr>
      <w:r>
        <w:t>C  Makes verification unnecessary</w:t>
      </w:r>
    </w:p>
    <w:p>
      <w:pPr>
        <w:spacing w:after="20"/>
        <w:ind w:left="216"/>
      </w:pPr>
      <w:r>
        <w:t>D  Preserves options as readiness, information, or circumstances change</w:t>
      </w:r>
    </w:p>
    <w:p>
      <w:pPr>
        <w:spacing w:after="100"/>
      </w:pPr>
      <w:r>
        <w:rPr>
          <w:b/>
        </w:rPr>
        <w:t>Correct answer  D — The first destination or timeline need not determine every future step.</w:t>
      </w:r>
    </w:p>
    <w:p>
      <w:pPr>
        <w:pStyle w:val="Heading1"/>
        <w:pageBreakBefore/>
      </w:pPr>
      <w:r>
        <w:t>Assess learning and connect resources</w:t>
      </w:r>
    </w:p>
    <w:p>
      <w:pPr>
        <w:pStyle w:val="Heading2"/>
      </w:pPr>
      <w:r>
        <w:t>What to collect and how to review it</w:t>
      </w:r>
    </w:p>
    <w:p>
      <w:pPr>
        <w:spacing w:after="100"/>
      </w:pPr>
      <w:r>
        <w:t>Use the feedback checklist to assess the revised product. Look for specific evidence, an explained choice, a response to feedback, and a feasible next action. Ask a follow-up when an element is missing. Do not score disclosure, confidence, accent, social connections, or access to a prestigious experience.</w:t>
      </w:r>
    </w:p>
    <w:p>
      <w:pPr>
        <w:pStyle w:val="Heading2"/>
      </w:pPr>
      <w:r>
        <w:t>Taskforce coverage</w:t>
      </w:r>
    </w:p>
    <w:p>
      <w:pPr>
        <w:pStyle w:val="ListBullet"/>
      </w:pPr>
      <w:r>
        <w:t>Prepare a defined pursuit skill through a topic-specific planner and worked example.</w:t>
      </w:r>
    </w:p>
    <w:p>
      <w:pPr>
        <w:pStyle w:val="ListBullet"/>
      </w:pPr>
      <w:r>
        <w:t>Provide individual feedback through two rounds of paired practice and revision.</w:t>
      </w:r>
    </w:p>
    <w:p>
      <w:pPr>
        <w:pStyle w:val="ListBullet"/>
      </w:pPr>
      <w:r>
        <w:t>Write a primary plan, an alternative plan, and an adjacent route in the student planner.</w:t>
      </w:r>
    </w:p>
    <w:p>
      <w:pPr>
        <w:pStyle w:val="ListBullet"/>
      </w:pPr>
      <w:r>
        <w:t>Respond to changed conditions in the closing adaptation prompt.</w:t>
      </w:r>
    </w:p>
    <w:p>
      <w:pPr>
        <w:pStyle w:val="ListBullet"/>
      </w:pPr>
      <w:r>
        <w:t>Explain a first step as a starting destination that can support later learning and movement.</w:t>
      </w:r>
    </w:p>
    <w:p>
      <w:pPr>
        <w:pStyle w:val="Heading2"/>
      </w:pPr>
      <w:r>
        <w:t>Access and virtual delivery</w:t>
      </w:r>
    </w:p>
    <w:p>
      <w:pPr>
        <w:spacing w:after="100"/>
      </w:pPr>
      <w:r>
        <w:t>Share prompts ahead of time when useful. Allow private writing, chat, typed feedback, or a one-to-one exchange instead of public speaking. Use the fictional case when students lack a current opportunity. Provide accessible copies of any source excerpts. Keep paired practice and revision, with an equivalent accessible format where needed.</w:t>
      </w:r>
    </w:p>
    <w:p>
      <w:pPr>
        <w:pStyle w:val="Heading2"/>
      </w:pPr>
      <w:r>
        <w:t>Resources and follow through</w:t>
      </w:r>
    </w:p>
    <w:p>
      <w:pPr>
        <w:spacing w:after="100"/>
      </w:pPr>
      <w:r>
        <w:t>After class, ask students to take their dated step and briefly report what they learned. Use the following resources as starting points; tools, dates, and eligibility should be checked before each delivery. Program and employer instructions control actual requirements.</w:t>
      </w:r>
    </w:p>
    <w:p>
      <w:pPr>
        <w:spacing w:after="100"/>
      </w:pPr>
      <w:r>
        <w:t>CES personal statements: https://careers.rutgers.edu/news/authoring-your-value-personal-statement</w:t>
      </w:r>
    </w:p>
    <w:p>
      <w:pPr>
        <w:spacing w:after="100"/>
      </w:pPr>
      <w:r>
        <w:t>CES application planning timeline: https://careers.rutgers.edu/news/timeline-planning-and-applying-graduate-or-professional-school</w:t>
      </w:r>
    </w:p>
    <w:p>
      <w:pPr>
        <w:spacing w:after="100"/>
      </w:pPr>
      <w:r>
        <w:t>CES Guide: https://careers.rutgers.edu/students-alumni/career-internship-guide</w:t>
      </w:r>
    </w:p>
    <w:p>
      <w:pPr>
        <w:spacing w:after="100"/>
      </w:pPr>
      <w:r>
        <w:t>CES advising: https://careers.rutgers.edu/students-and-alumni</w:t>
      </w:r>
    </w:p>
    <w:p>
      <w:pPr>
        <w:spacing w:after="100"/>
      </w:pPr>
      <w:r>
        <w:t>Framework reference: Building a Career-Ready Campus taskforce criteria supplied by the user. CES Career Journey descriptions reflect the user’s explanation. Resources checked November 1, 2026. Activities and examples are teaching adaptations.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a Graduate School Application Plan</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