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Compare Careers and Academic Pathways</w:t>
      </w:r>
    </w:p>
    <w:p>
      <w:pPr>
        <w:spacing w:after="100"/>
      </w:pPr>
      <w:r>
        <w:t>60 minute lesson plan and facilitator teaching guide</w:t>
      </w:r>
    </w:p>
    <w:p>
      <w:pPr>
        <w:spacing w:after="100"/>
      </w:pPr>
      <w:r>
        <w:t>Career Journey phase  Explore Careers and Academic Pathways</w:t>
      </w:r>
    </w:p>
    <w:p>
      <w:pPr>
        <w:spacing w:after="100"/>
      </w:pPr>
      <w:r>
        <w:t>Students connect self-knowledge with possible careers, compare credible information and academic routes, and plan a conversation or experiment to test fit.</w:t>
      </w:r>
    </w:p>
    <w:p>
      <w:pPr>
        <w:pStyle w:val="Heading2"/>
      </w:pPr>
      <w:r>
        <w:t>Learning objectives</w:t>
      </w:r>
    </w:p>
    <w:p>
      <w:pPr>
        <w:pStyle w:val="ListBullet"/>
      </w:pPr>
      <w:r>
        <w:t>Connect interests, skills, and values to at least two career possibilities.</w:t>
      </w:r>
    </w:p>
    <w:p>
      <w:pPr>
        <w:pStyle w:val="ListBullet"/>
      </w:pPr>
      <w:r>
        <w:t>Use credible occupational information and distinguish typical patterns from individual outcomes.</w:t>
      </w:r>
    </w:p>
    <w:p>
      <w:pPr>
        <w:pStyle w:val="ListBullet"/>
      </w:pPr>
      <w:r>
        <w:t>Investigate more than one academic route and prepare questions for an informed person.</w:t>
      </w:r>
    </w:p>
    <w:p>
      <w:pPr>
        <w:pStyle w:val="ListBullet"/>
      </w:pPr>
      <w:r>
        <w:t>Revise a tentative fit judgment and design a small exploration experiment.</w:t>
      </w:r>
    </w:p>
    <w:p>
      <w:pPr>
        <w:pStyle w:val="Heading2"/>
      </w:pPr>
      <w:r>
        <w:t>Session schedule</w:t>
      </w:r>
    </w:p>
    <w:tbl>
      <w:tblPr>
        <w:tblW w:type="auto" w:w="0"/>
        <w:tblLayout w:type="fixed"/>
        <w:tblLook w:firstColumn="1" w:firstRow="1" w:lastColumn="0" w:lastRow="0" w:noHBand="0" w:noVBand="1" w:val="04A0"/>
      </w:tblPr>
      <w:tblGrid>
        <w:gridCol w:w="936"/>
        <w:gridCol w:w="2448"/>
        <w:gridCol w:w="6840"/>
      </w:tblGrid>
      <w:tr>
        <w:trPr>
          <w:cantSplit/>
          <w:tblHeader/>
        </w:trPr>
        <w:tc>
          <w:tcPr>
            <w:tcW w:type="dxa" w:w="936"/>
            <w:tcBorders>
              <w:top w:val="single" w:sz="4" w:color="D9D9D9"/>
              <w:bottom w:val="single" w:sz="4" w:color="D9D9D9"/>
              <w:left w:val="single" w:sz="4" w:color="D9D9D9"/>
              <w:right w:val="single" w:sz="4" w:color="D9D9D9"/>
            </w:tcBorders>
            <w:shd w:fill="E6EBEE"/>
          </w:tcPr>
          <w:p>
            <w:pPr>
              <w:spacing w:before="80" w:after="80"/>
            </w:pPr>
            <w:r>
              <w:rPr>
                <w:b/>
                <w:sz w:val="18"/>
              </w:rPr>
              <w:t>Time</w:t>
            </w:r>
          </w:p>
        </w:tc>
        <w:tc>
          <w:tcPr>
            <w:tcW w:type="dxa" w:w="2448"/>
            <w:tcBorders>
              <w:top w:val="single" w:sz="4" w:color="D9D9D9"/>
              <w:bottom w:val="single" w:sz="4" w:color="D9D9D9"/>
              <w:left w:val="single" w:sz="4" w:color="D9D9D9"/>
              <w:right w:val="single" w:sz="4" w:color="D9D9D9"/>
            </w:tcBorders>
            <w:shd w:fill="E6EBEE"/>
          </w:tcPr>
          <w:p>
            <w:pPr>
              <w:spacing w:before="80" w:after="80"/>
            </w:pPr>
            <w:r>
              <w:rPr>
                <w:b/>
                <w:sz w:val="18"/>
              </w:rPr>
              <w:t>Activity</w:t>
            </w:r>
          </w:p>
        </w:tc>
        <w:tc>
          <w:tcPr>
            <w:tcW w:type="dxa" w:w="6840"/>
            <w:tcBorders>
              <w:top w:val="single" w:sz="4" w:color="D9D9D9"/>
              <w:bottom w:val="single" w:sz="4" w:color="D9D9D9"/>
              <w:left w:val="single" w:sz="4" w:color="D9D9D9"/>
              <w:right w:val="single" w:sz="4" w:color="D9D9D9"/>
            </w:tcBorders>
            <w:shd w:fill="E6EBEE"/>
          </w:tcPr>
          <w:p>
            <w:pPr>
              <w:spacing w:before="80" w:after="80"/>
            </w:pPr>
            <w:r>
              <w:rPr>
                <w:b/>
                <w:sz w:val="18"/>
              </w:rPr>
              <w:t>Student action</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0–5</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Opening challenge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Try a task or make a choice before explanation.</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5–12</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Brief teaching and check</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Use key terms to explain a choice.</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12–20</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Analyze a shared case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Identify a gap and propose a better approach.</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20–35</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Create a first draft</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Use the planner and evidence.</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35–50</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Practice and revise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Exchange individual feedback and try again.</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50–58</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Closing challenge</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Answer four questions and adapt the plan.</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58–60</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Exit commitment</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Submit a revised product and next action.</w:t>
            </w:r>
          </w:p>
        </w:tc>
      </w:tr>
    </w:tbl>
    <w:p>
      <w:pPr>
        <w:pStyle w:val="Heading2"/>
      </w:pPr>
      <w:r>
        <w:t>Preparation and materials</w:t>
      </w:r>
    </w:p>
    <w:p>
      <w:pPr>
        <w:spacing w:after="100"/>
      </w:pPr>
      <w:r>
        <w:t>Read this guide and the linked resources before teaching. Rehearse the worked example. Print the Student planner and make the key terms and feedback checklist available. Prepare a timer, writing space, and A/B/C/D response method. Slides and paid tools are not required. Keep the instructor answer key separate from student materials.</w:t>
      </w:r>
    </w:p>
    <w:p>
      <w:pPr>
        <w:pStyle w:val="Heading1"/>
        <w:pageBreakBefore/>
      </w:pPr>
      <w:r>
        <w:t>Background for a first time facilitator</w:t>
      </w:r>
    </w:p>
    <w:p>
      <w:pPr>
        <w:spacing w:after="100"/>
      </w:pPr>
      <w:r>
        <w:t>Read these terms before class. Introduce them with a short example rather than assuming students know the vocabulary. The teaching suggestions and fictional cases are instructional adaptations, not records of actual outcomes.</w:t>
      </w:r>
    </w:p>
    <w:tbl>
      <w:tblPr>
        <w:tblW w:type="auto" w:w="0"/>
        <w:tblLayout w:type="fixed"/>
        <w:tblLook w:firstColumn="1" w:firstRow="1" w:lastColumn="0" w:lastRow="0" w:noHBand="0" w:noVBand="1" w:val="04A0"/>
      </w:tblPr>
      <w:tblGrid>
        <w:gridCol w:w="2232"/>
        <w:gridCol w:w="7992"/>
      </w:tblGrid>
      <w:tr>
        <w:trPr>
          <w:cantSplit/>
          <w:tblHeader/>
        </w:trPr>
        <w:tc>
          <w:tcPr>
            <w:tcW w:type="dxa" w:w="2232"/>
            <w:tcBorders>
              <w:top w:val="single" w:sz="4" w:color="D9D9D9"/>
              <w:bottom w:val="single" w:sz="4" w:color="D9D9D9"/>
              <w:left w:val="single" w:sz="4" w:color="D9D9D9"/>
              <w:right w:val="single" w:sz="4" w:color="D9D9D9"/>
            </w:tcBorders>
            <w:shd w:fill="E6EBEE"/>
          </w:tcPr>
          <w:p>
            <w:pPr>
              <w:spacing w:before="80" w:after="80"/>
            </w:pPr>
            <w:r>
              <w:rPr>
                <w:b/>
                <w:sz w:val="18"/>
              </w:rPr>
              <w:t>Term</w:t>
            </w:r>
          </w:p>
        </w:tc>
        <w:tc>
          <w:tcPr>
            <w:tcW w:type="dxa" w:w="7992"/>
            <w:tcBorders>
              <w:top w:val="single" w:sz="4" w:color="D9D9D9"/>
              <w:bottom w:val="single" w:sz="4" w:color="D9D9D9"/>
              <w:left w:val="single" w:sz="4" w:color="D9D9D9"/>
              <w:right w:val="single" w:sz="4" w:color="D9D9D9"/>
            </w:tcBorders>
            <w:shd w:fill="E6EBEE"/>
          </w:tcPr>
          <w:p>
            <w:pPr>
              <w:spacing w:before="80" w:after="80"/>
            </w:pPr>
            <w:r>
              <w:rPr>
                <w:b/>
                <w:sz w:val="18"/>
              </w:rPr>
              <w:t>What it means</w:t>
            </w:r>
          </w:p>
        </w:tc>
      </w:tr>
      <w:tr>
        <w:trPr>
          <w:cantSplit/>
        </w:trPr>
        <w:tc>
          <w:tcPr>
            <w:tcW w:type="dxa" w:w="2232"/>
            <w:tcBorders>
              <w:top w:val="single" w:sz="4" w:color="D9D9D9"/>
              <w:bottom w:val="single" w:sz="4" w:color="D9D9D9"/>
              <w:left w:val="single" w:sz="4" w:color="D9D9D9"/>
              <w:right w:val="single" w:sz="4" w:color="D9D9D9"/>
            </w:tcBorders>
            <w:shd w:fill="FFFFFF"/>
          </w:tcPr>
          <w:p>
            <w:pPr>
              <w:spacing w:before="80" w:after="80"/>
            </w:pPr>
            <w:r>
              <w:rPr>
                <w:b w:val="0"/>
                <w:sz w:val="18"/>
              </w:rPr>
              <w:t>Career fit</w:t>
            </w:r>
          </w:p>
        </w:tc>
        <w:tc>
          <w:tcPr>
            <w:tcW w:type="dxa" w:w="7992"/>
            <w:tcBorders>
              <w:top w:val="single" w:sz="4" w:color="D9D9D9"/>
              <w:bottom w:val="single" w:sz="4" w:color="D9D9D9"/>
              <w:left w:val="single" w:sz="4" w:color="D9D9D9"/>
              <w:right w:val="single" w:sz="4" w:color="D9D9D9"/>
            </w:tcBorders>
            <w:shd w:fill="FFFFFF"/>
          </w:tcPr>
          <w:p>
            <w:pPr>
              <w:spacing w:before="80" w:after="80"/>
            </w:pPr>
            <w:r>
              <w:rPr>
                <w:b w:val="0"/>
                <w:sz w:val="18"/>
              </w:rPr>
              <w:t>A tentative match between a person’s priorities and the activities or conditions of work.</w:t>
            </w:r>
          </w:p>
        </w:tc>
      </w:tr>
      <w:tr>
        <w:trPr>
          <w:cantSplit/>
        </w:trPr>
        <w:tc>
          <w:tcPr>
            <w:tcW w:type="dxa" w:w="2232"/>
            <w:tcBorders>
              <w:top w:val="single" w:sz="4" w:color="D9D9D9"/>
              <w:bottom w:val="single" w:sz="4" w:color="D9D9D9"/>
              <w:left w:val="single" w:sz="4" w:color="D9D9D9"/>
              <w:right w:val="single" w:sz="4" w:color="D9D9D9"/>
            </w:tcBorders>
            <w:shd w:fill="F5F5F5"/>
          </w:tcPr>
          <w:p>
            <w:pPr>
              <w:spacing w:before="80" w:after="80"/>
            </w:pPr>
            <w:r>
              <w:rPr>
                <w:b w:val="0"/>
                <w:sz w:val="18"/>
              </w:rPr>
              <w:t>Academic pathway</w:t>
            </w:r>
          </w:p>
        </w:tc>
        <w:tc>
          <w:tcPr>
            <w:tcW w:type="dxa" w:w="7992"/>
            <w:tcBorders>
              <w:top w:val="single" w:sz="4" w:color="D9D9D9"/>
              <w:bottom w:val="single" w:sz="4" w:color="D9D9D9"/>
              <w:left w:val="single" w:sz="4" w:color="D9D9D9"/>
              <w:right w:val="single" w:sz="4" w:color="D9D9D9"/>
            </w:tcBorders>
            <w:shd w:fill="F5F5F5"/>
          </w:tcPr>
          <w:p>
            <w:pPr>
              <w:spacing w:before="80" w:after="80"/>
            </w:pPr>
            <w:r>
              <w:rPr>
                <w:b w:val="0"/>
                <w:sz w:val="18"/>
              </w:rPr>
              <w:t>A combination of a program, courses, experiences, or further study that can support a career direction.</w:t>
            </w:r>
          </w:p>
        </w:tc>
      </w:tr>
      <w:tr>
        <w:trPr>
          <w:cantSplit/>
        </w:trPr>
        <w:tc>
          <w:tcPr>
            <w:tcW w:type="dxa" w:w="2232"/>
            <w:tcBorders>
              <w:top w:val="single" w:sz="4" w:color="D9D9D9"/>
              <w:bottom w:val="single" w:sz="4" w:color="D9D9D9"/>
              <w:left w:val="single" w:sz="4" w:color="D9D9D9"/>
              <w:right w:val="single" w:sz="4" w:color="D9D9D9"/>
            </w:tcBorders>
            <w:shd w:fill="FFFFFF"/>
          </w:tcPr>
          <w:p>
            <w:pPr>
              <w:spacing w:before="80" w:after="80"/>
            </w:pPr>
            <w:r>
              <w:rPr>
                <w:b w:val="0"/>
                <w:sz w:val="18"/>
              </w:rPr>
              <w:t>Labor market information</w:t>
            </w:r>
          </w:p>
        </w:tc>
        <w:tc>
          <w:tcPr>
            <w:tcW w:type="dxa" w:w="7992"/>
            <w:tcBorders>
              <w:top w:val="single" w:sz="4" w:color="D9D9D9"/>
              <w:bottom w:val="single" w:sz="4" w:color="D9D9D9"/>
              <w:left w:val="single" w:sz="4" w:color="D9D9D9"/>
              <w:right w:val="single" w:sz="4" w:color="D9D9D9"/>
            </w:tcBorders>
            <w:shd w:fill="FFFFFF"/>
          </w:tcPr>
          <w:p>
            <w:pPr>
              <w:spacing w:before="80" w:after="80"/>
            </w:pPr>
            <w:r>
              <w:rPr>
                <w:b w:val="0"/>
                <w:sz w:val="18"/>
              </w:rPr>
              <w:t>Information about occupations and employment, including duties, education, pay, and projections.</w:t>
            </w:r>
          </w:p>
        </w:tc>
      </w:tr>
      <w:tr>
        <w:trPr>
          <w:cantSplit/>
        </w:trPr>
        <w:tc>
          <w:tcPr>
            <w:tcW w:type="dxa" w:w="2232"/>
            <w:tcBorders>
              <w:top w:val="single" w:sz="4" w:color="D9D9D9"/>
              <w:bottom w:val="single" w:sz="4" w:color="D9D9D9"/>
              <w:left w:val="single" w:sz="4" w:color="D9D9D9"/>
              <w:right w:val="single" w:sz="4" w:color="D9D9D9"/>
            </w:tcBorders>
            <w:shd w:fill="F5F5F5"/>
          </w:tcPr>
          <w:p>
            <w:pPr>
              <w:spacing w:before="80" w:after="80"/>
            </w:pPr>
            <w:r>
              <w:rPr>
                <w:b w:val="0"/>
                <w:sz w:val="18"/>
              </w:rPr>
              <w:t>Typical and required</w:t>
            </w:r>
          </w:p>
        </w:tc>
        <w:tc>
          <w:tcPr>
            <w:tcW w:type="dxa" w:w="7992"/>
            <w:tcBorders>
              <w:top w:val="single" w:sz="4" w:color="D9D9D9"/>
              <w:bottom w:val="single" w:sz="4" w:color="D9D9D9"/>
              <w:left w:val="single" w:sz="4" w:color="D9D9D9"/>
              <w:right w:val="single" w:sz="4" w:color="D9D9D9"/>
            </w:tcBorders>
            <w:shd w:fill="F5F5F5"/>
          </w:tcPr>
          <w:p>
            <w:pPr>
              <w:spacing w:before="80" w:after="80"/>
            </w:pPr>
            <w:r>
              <w:rPr>
                <w:b w:val="0"/>
                <w:sz w:val="18"/>
              </w:rPr>
              <w:t>Typical preparation describes a pattern. A specific employer, program, or licensing body determines actual requirements.</w:t>
            </w:r>
          </w:p>
        </w:tc>
      </w:tr>
      <w:tr>
        <w:trPr>
          <w:cantSplit/>
        </w:trPr>
        <w:tc>
          <w:tcPr>
            <w:tcW w:type="dxa" w:w="2232"/>
            <w:tcBorders>
              <w:top w:val="single" w:sz="4" w:color="D9D9D9"/>
              <w:bottom w:val="single" w:sz="4" w:color="D9D9D9"/>
              <w:left w:val="single" w:sz="4" w:color="D9D9D9"/>
              <w:right w:val="single" w:sz="4" w:color="D9D9D9"/>
            </w:tcBorders>
            <w:shd w:fill="FFFFFF"/>
          </w:tcPr>
          <w:p>
            <w:pPr>
              <w:spacing w:before="80" w:after="80"/>
            </w:pPr>
            <w:r>
              <w:rPr>
                <w:b w:val="0"/>
                <w:sz w:val="18"/>
              </w:rPr>
              <w:t>Informational conversation</w:t>
            </w:r>
          </w:p>
        </w:tc>
        <w:tc>
          <w:tcPr>
            <w:tcW w:type="dxa" w:w="7992"/>
            <w:tcBorders>
              <w:top w:val="single" w:sz="4" w:color="D9D9D9"/>
              <w:bottom w:val="single" w:sz="4" w:color="D9D9D9"/>
              <w:left w:val="single" w:sz="4" w:color="D9D9D9"/>
              <w:right w:val="single" w:sz="4" w:color="D9D9D9"/>
            </w:tcBorders>
            <w:shd w:fill="FFFFFF"/>
          </w:tcPr>
          <w:p>
            <w:pPr>
              <w:spacing w:before="80" w:after="80"/>
            </w:pPr>
            <w:r>
              <w:rPr>
                <w:b w:val="0"/>
                <w:sz w:val="18"/>
              </w:rPr>
              <w:t>A prepared conversation to learn from someone’s experience rather than request a job.</w:t>
            </w:r>
          </w:p>
        </w:tc>
      </w:tr>
      <w:tr>
        <w:trPr>
          <w:cantSplit/>
        </w:trPr>
        <w:tc>
          <w:tcPr>
            <w:tcW w:type="dxa" w:w="2232"/>
            <w:tcBorders>
              <w:top w:val="single" w:sz="4" w:color="D9D9D9"/>
              <w:bottom w:val="single" w:sz="4" w:color="D9D9D9"/>
              <w:left w:val="single" w:sz="4" w:color="D9D9D9"/>
              <w:right w:val="single" w:sz="4" w:color="D9D9D9"/>
            </w:tcBorders>
            <w:shd w:fill="F5F5F5"/>
          </w:tcPr>
          <w:p>
            <w:pPr>
              <w:spacing w:before="80" w:after="80"/>
            </w:pPr>
            <w:r>
              <w:rPr>
                <w:b w:val="0"/>
                <w:sz w:val="18"/>
              </w:rPr>
              <w:t>Nonlinear path</w:t>
            </w:r>
          </w:p>
        </w:tc>
        <w:tc>
          <w:tcPr>
            <w:tcW w:type="dxa" w:w="7992"/>
            <w:tcBorders>
              <w:top w:val="single" w:sz="4" w:color="D9D9D9"/>
              <w:bottom w:val="single" w:sz="4" w:color="D9D9D9"/>
              <w:left w:val="single" w:sz="4" w:color="D9D9D9"/>
              <w:right w:val="single" w:sz="4" w:color="D9D9D9"/>
            </w:tcBorders>
            <w:shd w:fill="F5F5F5"/>
          </w:tcPr>
          <w:p>
            <w:pPr>
              <w:spacing w:before="80" w:after="80"/>
            </w:pPr>
            <w:r>
              <w:rPr>
                <w:b w:val="0"/>
                <w:sz w:val="18"/>
              </w:rPr>
              <w:t>A route that can change through experience, further study, or adjacent opportunities.</w:t>
            </w:r>
          </w:p>
        </w:tc>
      </w:tr>
    </w:tbl>
    <w:p>
      <w:pPr>
        <w:pStyle w:val="Heading2"/>
      </w:pPr>
      <w:r>
        <w:t>A short explanation you can use</w:t>
      </w:r>
    </w:p>
    <w:p>
      <w:pPr>
        <w:keepNext/>
        <w:spacing w:after="20" w:before="100"/>
      </w:pPr>
      <w:r>
        <w:rPr>
          <w:b/>
          <w:sz w:val="19"/>
        </w:rPr>
        <w:t>Say to students:</w:t>
      </w:r>
    </w:p>
    <w:p>
      <w:pPr>
        <w:keepLines/>
        <w:spacing w:after="100"/>
        <w:ind w:left="216"/>
      </w:pPr>
      <w:r>
        <w:t>“Exploration connects what you know about yourself to several possibilities. A major does not establish only one destination. Compare the work itself, preparation, conditions, and information limits. An occupation’s median pay is not a starting offer or a promise; projections do not predict your individual outcome. Use evidence from people and reliable sources, then test your assumptions.”</w:t>
      </w:r>
    </w:p>
    <w:p>
      <w:pPr>
        <w:pStyle w:val="Heading2"/>
      </w:pPr>
      <w:r>
        <w:t>A worked response</w:t>
      </w:r>
    </w:p>
    <w:p>
      <w:pPr>
        <w:spacing w:after="100"/>
      </w:pPr>
      <w:r>
        <w:t>I want work involving analysis and decisions. I will compare investment banking with another analytical role, check occupational information, and ask academic advisors about finance and economics routes. My questions concern daily tasks, preparation, and work conditions. I will request an alumni conversation this week, then revise my comparison rather than treating one title as the only route.</w:t>
      </w:r>
    </w:p>
    <w:p>
      <w:pPr>
        <w:pStyle w:val="Heading2"/>
      </w:pPr>
      <w:r>
        <w:t>What to look for</w:t>
      </w:r>
    </w:p>
    <w:p>
      <w:pPr>
        <w:spacing w:after="100"/>
      </w:pPr>
      <w:r>
        <w:t>A useful response explains a choice with evidence and identifies what remains uncertain. An activity completed without interpretation, practice, or feedback does not demonstrate the full purpose of the lesson.</w:t>
      </w:r>
    </w:p>
    <w:p>
      <w:pPr>
        <w:pStyle w:val="Heading1"/>
        <w:pageBreakBefore/>
      </w:pPr>
      <w:r>
        <w:t>Facilitate the opening and teaching</w:t>
      </w:r>
    </w:p>
    <w:p>
      <w:pPr>
        <w:pStyle w:val="Heading2"/>
      </w:pPr>
      <w:r>
        <w:t>0 to 5 minutes Opening challenge</w:t>
      </w:r>
    </w:p>
    <w:p>
      <w:pPr>
        <w:keepNext/>
        <w:spacing w:after="20" w:before="100"/>
      </w:pPr>
      <w:r>
        <w:rPr>
          <w:b/>
          <w:sz w:val="19"/>
        </w:rPr>
        <w:t>Facilitator actions:</w:t>
      </w:r>
    </w:p>
    <w:p>
      <w:pPr>
        <w:keepLines/>
        <w:spacing w:after="100"/>
        <w:ind w:left="216"/>
      </w:pPr>
      <w:r>
        <w:t>Read the prompt below. Give one minute to think, two minutes for partners to try it, and two minutes to hear two observations. Start with participation before explaining the framework.</w:t>
      </w:r>
    </w:p>
    <w:p>
      <w:pPr>
        <w:keepNext/>
        <w:spacing w:after="20" w:before="100"/>
      </w:pPr>
      <w:r>
        <w:rPr>
          <w:b/>
          <w:sz w:val="19"/>
        </w:rPr>
        <w:t>Say to students:</w:t>
      </w:r>
    </w:p>
    <w:p>
      <w:pPr>
        <w:keepLines/>
        <w:spacing w:after="100"/>
        <w:ind w:left="216"/>
      </w:pPr>
      <w:r>
        <w:t>“Write one career that interests you and one reason connected to yourself. With a partner, propose another career that might fit the same reason. You can use an example if you are undecided.”</w:t>
      </w:r>
    </w:p>
    <w:p>
      <w:pPr>
        <w:keepNext/>
        <w:spacing w:after="20" w:before="100"/>
      </w:pPr>
      <w:r>
        <w:rPr>
          <w:b/>
          <w:sz w:val="19"/>
        </w:rPr>
        <w:t>Ask students:</w:t>
      </w:r>
    </w:p>
    <w:p>
      <w:pPr>
        <w:keepLines/>
        <w:spacing w:after="100"/>
        <w:ind w:left="216"/>
      </w:pPr>
      <w:r>
        <w:t>“What did you notice, and what would help you improve your next attempt?”</w:t>
      </w:r>
    </w:p>
    <w:p>
      <w:pPr>
        <w:keepNext/>
        <w:spacing w:after="20" w:before="100"/>
      </w:pPr>
      <w:r>
        <w:rPr>
          <w:b/>
          <w:sz w:val="19"/>
        </w:rPr>
        <w:t>Expected responses:</w:t>
      </w:r>
    </w:p>
    <w:p>
      <w:pPr>
        <w:keepLines/>
        <w:spacing w:after="100"/>
        <w:ind w:left="216"/>
      </w:pPr>
      <w:r>
        <w:t>A specific observation about the task, a choice, or a gap in information.</w:t>
      </w:r>
    </w:p>
    <w:p>
      <w:pPr>
        <w:keepNext/>
        <w:spacing w:after="20" w:before="100"/>
      </w:pPr>
      <w:r>
        <w:rPr>
          <w:b/>
          <w:sz w:val="19"/>
        </w:rPr>
        <w:t>If students need support:</w:t>
      </w:r>
    </w:p>
    <w:p>
      <w:pPr>
        <w:keepLines/>
        <w:spacing w:after="100"/>
        <w:ind w:left="216"/>
      </w:pPr>
      <w:r>
        <w:t>If students only compare pay, ask which daily activities or conditions matter to them. If they equate one major with one job, ask an advisor question that would test that assumption. If sources disagree, compare dates, definitions, geography, and occupation categories. Acknowledge uncertainty rather than selecting a convenient number.</w:t>
      </w:r>
    </w:p>
    <w:p>
      <w:pPr>
        <w:keepNext/>
        <w:spacing w:after="20" w:before="100"/>
      </w:pPr>
      <w:r>
        <w:rPr>
          <w:b/>
          <w:sz w:val="19"/>
        </w:rPr>
        <w:t>Transition to the next activity:</w:t>
      </w:r>
    </w:p>
    <w:p>
      <w:pPr>
        <w:keepLines/>
        <w:spacing w:after="100"/>
        <w:ind w:left="216"/>
      </w:pPr>
      <w:r>
        <w:t>“Let us add language and a method that can help with the next attempt.”</w:t>
      </w:r>
    </w:p>
    <w:p>
      <w:pPr>
        <w:pStyle w:val="Heading2"/>
      </w:pPr>
      <w:r>
        <w:t>5 to 12 minutes Brief teaching and check</w:t>
      </w:r>
    </w:p>
    <w:p>
      <w:pPr>
        <w:keepNext/>
        <w:spacing w:after="20" w:before="100"/>
      </w:pPr>
      <w:r>
        <w:rPr>
          <w:b/>
          <w:sz w:val="19"/>
        </w:rPr>
        <w:t>Facilitator actions:</w:t>
      </w:r>
    </w:p>
    <w:p>
      <w:pPr>
        <w:keepLines/>
        <w:spacing w:after="100"/>
        <w:ind w:left="216"/>
      </w:pPr>
      <w:r>
        <w:t>Use three minutes to explain the key terms and short explanation from the Background section. Give pairs two minutes to apply two terms to their opening response. Use two minutes to hear examples and correct a misconception.</w:t>
      </w:r>
    </w:p>
    <w:p>
      <w:pPr>
        <w:keepNext/>
        <w:spacing w:after="20" w:before="100"/>
      </w:pPr>
      <w:r>
        <w:rPr>
          <w:b/>
          <w:sz w:val="19"/>
        </w:rPr>
        <w:t>Say to students:</w:t>
      </w:r>
    </w:p>
    <w:p>
      <w:pPr>
        <w:keepLines/>
        <w:spacing w:after="100"/>
        <w:ind w:left="216"/>
      </w:pPr>
      <w:r>
        <w:t>“Use two of these ideas to explain what you would change in your opening response. What would make that change useful?”</w:t>
      </w:r>
    </w:p>
    <w:p>
      <w:pPr>
        <w:keepNext/>
        <w:spacing w:after="20" w:before="100"/>
      </w:pPr>
      <w:r>
        <w:rPr>
          <w:b/>
          <w:sz w:val="19"/>
        </w:rPr>
        <w:t>Expected responses:</w:t>
      </w:r>
    </w:p>
    <w:p>
      <w:pPr>
        <w:keepLines/>
        <w:spacing w:after="100"/>
        <w:ind w:left="216"/>
      </w:pPr>
      <w:r>
        <w:t>A term used accurately, with a reason rather than only a definition.</w:t>
      </w:r>
    </w:p>
    <w:p>
      <w:pPr>
        <w:keepNext/>
        <w:spacing w:after="20" w:before="100"/>
      </w:pPr>
      <w:r>
        <w:rPr>
          <w:b/>
          <w:sz w:val="19"/>
        </w:rPr>
        <w:t>If students need support:</w:t>
      </w:r>
    </w:p>
    <w:p>
      <w:pPr>
        <w:keepLines/>
        <w:spacing w:after="100"/>
        <w:ind w:left="216"/>
      </w:pPr>
      <w:r>
        <w:t>Point to the worked response and ask which detail illustrates the term. Explain one distinction before asking students to try again.</w:t>
      </w:r>
    </w:p>
    <w:p>
      <w:pPr>
        <w:keepNext/>
        <w:spacing w:after="20" w:before="100"/>
      </w:pPr>
      <w:r>
        <w:rPr>
          <w:b/>
          <w:sz w:val="19"/>
        </w:rPr>
        <w:t>Transition to the next activity:</w:t>
      </w:r>
    </w:p>
    <w:p>
      <w:pPr>
        <w:keepLines/>
        <w:spacing w:after="100"/>
        <w:ind w:left="216"/>
      </w:pPr>
      <w:r>
        <w:t>“We will test the method on a shared example before you create your own plan.”</w:t>
      </w:r>
    </w:p>
    <w:p>
      <w:pPr>
        <w:pStyle w:val="Heading1"/>
        <w:pageBreakBefore/>
      </w:pPr>
      <w:r>
        <w:t>Analyze a case and build a first draft</w:t>
      </w:r>
    </w:p>
    <w:p>
      <w:pPr>
        <w:pStyle w:val="Heading2"/>
      </w:pPr>
      <w:r>
        <w:t>12 to 20 minutes Shared case</w:t>
      </w:r>
    </w:p>
    <w:p>
      <w:pPr>
        <w:keepNext/>
        <w:spacing w:after="20" w:before="100"/>
      </w:pPr>
      <w:r>
        <w:rPr>
          <w:b/>
          <w:sz w:val="19"/>
        </w:rPr>
        <w:t>Read aloud:</w:t>
      </w:r>
    </w:p>
    <w:p>
      <w:pPr>
        <w:keepLines/>
        <w:spacing w:after="100"/>
        <w:ind w:left="216"/>
      </w:pPr>
      <w:r>
        <w:t>Sam enjoys quantitative questions and helping people make decisions. Sam assumes investment banking requires only a finance major and that a national salary statistic guarantees a first salary. Sam has not compared economics or other preparation routes, work conditions, or employers’ actual requirements.</w:t>
      </w:r>
    </w:p>
    <w:p>
      <w:pPr>
        <w:keepNext/>
        <w:spacing w:after="20" w:before="100"/>
      </w:pPr>
      <w:r>
        <w:rPr>
          <w:b/>
          <w:sz w:val="19"/>
        </w:rPr>
        <w:t>Facilitator actions:</w:t>
      </w:r>
    </w:p>
    <w:p>
      <w:pPr>
        <w:keepLines/>
        <w:spacing w:after="100"/>
        <w:ind w:left="216"/>
      </w:pPr>
      <w:r>
        <w:t>Give pairs three minutes to identify a gap and recommend a change. Use three minutes to hear two recommendations and explain the answer guidance. Spend the final two minutes modeling a revised response or the worked example.</w:t>
      </w:r>
    </w:p>
    <w:p>
      <w:pPr>
        <w:keepNext/>
        <w:spacing w:after="20" w:before="100"/>
      </w:pPr>
      <w:r>
        <w:rPr>
          <w:b/>
          <w:sz w:val="19"/>
        </w:rPr>
        <w:t>Ask students:</w:t>
      </w:r>
    </w:p>
    <w:p>
      <w:pPr>
        <w:keepLines/>
        <w:spacing w:after="100"/>
        <w:ind w:left="216"/>
      </w:pPr>
      <w:r>
        <w:t>“What is missing? What evidence or information would help? What would you change first?”</w:t>
      </w:r>
    </w:p>
    <w:p>
      <w:pPr>
        <w:keepNext/>
        <w:spacing w:after="20" w:before="100"/>
      </w:pPr>
      <w:r>
        <w:rPr>
          <w:b/>
          <w:sz w:val="19"/>
        </w:rPr>
        <w:t>Answer guidance:</w:t>
      </w:r>
    </w:p>
    <w:p>
      <w:pPr>
        <w:keepLines/>
        <w:spacing w:after="100"/>
        <w:ind w:left="216"/>
      </w:pPr>
      <w:r>
        <w:t>Treat finance and economics as routes to investigate, using academic advising and actual requirements. Compare another career that uses analysis and decision support. A national statistic describes a population, not a guaranteed offer. Prepare questions for an alumnus or professional about work, preparation, and less obvious routes. Do not invent admission or licensing requirements.</w:t>
      </w:r>
    </w:p>
    <w:p>
      <w:pPr>
        <w:pStyle w:val="Heading2"/>
      </w:pPr>
      <w:r>
        <w:t>20 to 35 minutes Main activity</w:t>
      </w:r>
    </w:p>
    <w:p>
      <w:pPr>
        <w:keepNext/>
        <w:spacing w:after="20" w:before="100"/>
      </w:pPr>
      <w:r>
        <w:rPr>
          <w:b/>
          <w:sz w:val="19"/>
        </w:rPr>
        <w:t>Facilitator actions:</w:t>
      </w:r>
    </w:p>
    <w:p>
      <w:pPr>
        <w:keepLines/>
        <w:spacing w:after="100"/>
        <w:ind w:left="216"/>
      </w:pPr>
      <w:r>
        <w:t>Use the Career comparison worksheet. Spend three minutes stating personal fit criteria, six examining two occupational profiles, three listing academic routes to verify, and three drafting a message and questions for a professional, advisor, faculty member, or alumnus. Before class, select two accessible profiles from O*NET or BLS and save their URLs and access date; provide printouts if needed. Do not require students to finish a live conversation during class.</w:t>
      </w:r>
    </w:p>
    <w:p>
      <w:pPr>
        <w:keepNext/>
        <w:spacing w:after="20" w:before="100"/>
      </w:pPr>
      <w:r>
        <w:rPr>
          <w:b/>
          <w:sz w:val="19"/>
        </w:rPr>
        <w:t>Say to students:</w:t>
      </w:r>
    </w:p>
    <w:p>
      <w:pPr>
        <w:keepLines/>
        <w:spacing w:after="100"/>
        <w:ind w:left="216"/>
      </w:pPr>
      <w:r>
        <w:t>“Create a first draft using the planner. Mark anything you do not know instead of inventing a fact. You will receive feedback and revise.”</w:t>
      </w:r>
    </w:p>
    <w:p>
      <w:pPr>
        <w:keepNext/>
        <w:spacing w:after="20" w:before="100"/>
      </w:pPr>
      <w:r>
        <w:rPr>
          <w:b/>
          <w:sz w:val="19"/>
        </w:rPr>
        <w:t>Coaching guidance:</w:t>
      </w:r>
    </w:p>
    <w:p>
      <w:pPr>
        <w:keepLines/>
        <w:spacing w:after="100"/>
        <w:ind w:left="216"/>
      </w:pPr>
      <w:r>
        <w:t>If students only compare pay, ask which daily activities or conditions matter to them. If they equate one major with one job, ask an advisor question that would test that assumption. If sources disagree, compare dates, definitions, geography, and occupation categories. Acknowledge uncertainty rather than selecting a convenient number.</w:t>
      </w:r>
    </w:p>
    <w:p>
      <w:pPr>
        <w:keepNext/>
        <w:spacing w:after="20" w:before="100"/>
      </w:pPr>
      <w:r>
        <w:rPr>
          <w:b/>
          <w:sz w:val="19"/>
        </w:rPr>
        <w:t>Transition to the next activity:</w:t>
      </w:r>
    </w:p>
    <w:p>
      <w:pPr>
        <w:keepLines/>
        <w:spacing w:after="100"/>
        <w:ind w:left="216"/>
      </w:pPr>
      <w:r>
        <w:t>“Choose the part of your draft you most want a listener to test.”</w:t>
      </w:r>
    </w:p>
    <w:p>
      <w:pPr>
        <w:pStyle w:val="Heading1"/>
        <w:pageBreakBefore/>
      </w:pPr>
      <w:r>
        <w:t>Practice give feedback and reinforce learning</w:t>
      </w:r>
    </w:p>
    <w:p>
      <w:pPr>
        <w:pStyle w:val="Heading2"/>
      </w:pPr>
      <w:r>
        <w:t>35 to 50 minutes Individual feedback and revision</w:t>
      </w:r>
    </w:p>
    <w:p>
      <w:pPr>
        <w:keepNext/>
        <w:spacing w:after="20" w:before="100"/>
      </w:pPr>
      <w:r>
        <w:rPr>
          <w:b/>
          <w:sz w:val="19"/>
        </w:rPr>
        <w:t>Facilitator actions:</w:t>
      </w:r>
    </w:p>
    <w:p>
      <w:pPr>
        <w:keepLines/>
        <w:spacing w:after="100"/>
        <w:ind w:left="216"/>
      </w:pPr>
      <w:r>
        <w:t>35–39: Partner A explains or role-plays the draft for two minutes; Partner B gives two minutes of specific feedback using the checklist below. 39–43: Swap. 43–46: Both revise. 46–50: Each gives a two-minute revised attempt. Use the role instructions below for the listener.</w:t>
      </w:r>
    </w:p>
    <w:p>
      <w:pPr>
        <w:keepNext/>
        <w:spacing w:after="20" w:before="100"/>
      </w:pPr>
      <w:r>
        <w:rPr>
          <w:b/>
          <w:sz w:val="19"/>
        </w:rPr>
        <w:t>Say to students:</w:t>
      </w:r>
    </w:p>
    <w:p>
      <w:pPr>
        <w:keepLines/>
        <w:spacing w:after="100"/>
        <w:ind w:left="216"/>
      </w:pPr>
      <w:r>
        <w:t>“Identify one detail that works, one question you still have, and one change the speaker can make. Respond to the actual draft, then listen for the change in the second attempt.”</w:t>
      </w:r>
    </w:p>
    <w:p>
      <w:pPr>
        <w:spacing w:after="100"/>
      </w:pPr>
      <w:r>
        <w:t>Listener role: Act as a reviewer or advisor. Ask the speaker to explain their reasoning and point out information that needs clarification.</w:t>
      </w:r>
    </w:p>
    <w:tbl>
      <w:tblPr>
        <w:tblW w:type="auto" w:w="0"/>
        <w:tblLayout w:type="fixed"/>
        <w:tblLook w:firstColumn="1" w:firstRow="1" w:lastColumn="0" w:lastRow="0" w:noHBand="0" w:noVBand="1" w:val="04A0"/>
      </w:tblPr>
      <w:tblGrid>
        <w:gridCol w:w="864"/>
        <w:gridCol w:w="9360"/>
      </w:tblGrid>
      <w:tr>
        <w:trPr>
          <w:cantSplit/>
          <w:tblHeader/>
        </w:trPr>
        <w:tc>
          <w:tcPr>
            <w:tcW w:type="dxa" w:w="864"/>
            <w:tcBorders>
              <w:top w:val="single" w:sz="4" w:color="D9D9D9"/>
              <w:bottom w:val="single" w:sz="4" w:color="D9D9D9"/>
              <w:left w:val="single" w:sz="4" w:color="D9D9D9"/>
              <w:right w:val="single" w:sz="4" w:color="D9D9D9"/>
            </w:tcBorders>
            <w:shd w:fill="E6EBEE"/>
          </w:tcPr>
          <w:p>
            <w:pPr>
              <w:spacing w:before="80" w:after="80"/>
            </w:pPr>
            <w:r>
              <w:rPr>
                <w:b/>
                <w:sz w:val="18"/>
              </w:rPr>
              <w:t>Check</w:t>
            </w:r>
          </w:p>
        </w:tc>
        <w:tc>
          <w:tcPr>
            <w:tcW w:type="dxa" w:w="9360"/>
            <w:tcBorders>
              <w:top w:val="single" w:sz="4" w:color="D9D9D9"/>
              <w:bottom w:val="single" w:sz="4" w:color="D9D9D9"/>
              <w:left w:val="single" w:sz="4" w:color="D9D9D9"/>
              <w:right w:val="single" w:sz="4" w:color="D9D9D9"/>
            </w:tcBorders>
            <w:shd w:fill="E6EBEE"/>
          </w:tcPr>
          <w:p>
            <w:pPr>
              <w:spacing w:before="80" w:after="80"/>
            </w:pPr>
            <w:r>
              <w:rPr>
                <w:b/>
                <w:sz w:val="18"/>
              </w:rPr>
              <w:t>Question for the listener</w:t>
            </w:r>
          </w:p>
        </w:tc>
      </w:tr>
      <w:tr>
        <w:trPr>
          <w:cantSplit/>
        </w:trPr>
        <w:tc>
          <w:tcPr>
            <w:tcW w:type="dxa" w:w="864"/>
            <w:tcBorders>
              <w:top w:val="single" w:sz="4" w:color="D9D9D9"/>
              <w:bottom w:val="single" w:sz="4" w:color="D9D9D9"/>
              <w:left w:val="single" w:sz="4" w:color="D9D9D9"/>
              <w:right w:val="single" w:sz="4" w:color="D9D9D9"/>
            </w:tcBorders>
            <w:shd w:fill="FFFFFF"/>
          </w:tcPr>
          <w:p>
            <w:pPr>
              <w:spacing w:before="80" w:after="80"/>
            </w:pPr>
            <w:r>
              <w:rPr>
                <w:b w:val="0"/>
                <w:sz w:val="18"/>
              </w:rPr>
              <w:t>1</w:t>
            </w:r>
          </w:p>
        </w:tc>
        <w:tc>
          <w:tcPr>
            <w:tcW w:type="dxa" w:w="9360"/>
            <w:tcBorders>
              <w:top w:val="single" w:sz="4" w:color="D9D9D9"/>
              <w:bottom w:val="single" w:sz="4" w:color="D9D9D9"/>
              <w:left w:val="single" w:sz="4" w:color="D9D9D9"/>
              <w:right w:val="single" w:sz="4" w:color="D9D9D9"/>
            </w:tcBorders>
            <w:shd w:fill="FFFFFF"/>
          </w:tcPr>
          <w:p>
            <w:pPr>
              <w:spacing w:before="80" w:after="80"/>
            </w:pPr>
            <w:r>
              <w:rPr>
                <w:b w:val="0"/>
                <w:sz w:val="18"/>
              </w:rPr>
              <w:t>Is the fit judgment connected to self-knowledge?</w:t>
            </w:r>
          </w:p>
        </w:tc>
      </w:tr>
      <w:tr>
        <w:trPr>
          <w:cantSplit/>
        </w:trPr>
        <w:tc>
          <w:tcPr>
            <w:tcW w:type="dxa" w:w="864"/>
            <w:tcBorders>
              <w:top w:val="single" w:sz="4" w:color="D9D9D9"/>
              <w:bottom w:val="single" w:sz="4" w:color="D9D9D9"/>
              <w:left w:val="single" w:sz="4" w:color="D9D9D9"/>
              <w:right w:val="single" w:sz="4" w:color="D9D9D9"/>
            </w:tcBorders>
            <w:shd w:fill="F5F5F5"/>
          </w:tcPr>
          <w:p>
            <w:pPr>
              <w:spacing w:before="80" w:after="80"/>
            </w:pPr>
            <w:r>
              <w:rPr>
                <w:b w:val="0"/>
                <w:sz w:val="18"/>
              </w:rPr>
              <w:t>2</w:t>
            </w:r>
          </w:p>
        </w:tc>
        <w:tc>
          <w:tcPr>
            <w:tcW w:type="dxa" w:w="9360"/>
            <w:tcBorders>
              <w:top w:val="single" w:sz="4" w:color="D9D9D9"/>
              <w:bottom w:val="single" w:sz="4" w:color="D9D9D9"/>
              <w:left w:val="single" w:sz="4" w:color="D9D9D9"/>
              <w:right w:val="single" w:sz="4" w:color="D9D9D9"/>
            </w:tcBorders>
            <w:shd w:fill="F5F5F5"/>
          </w:tcPr>
          <w:p>
            <w:pPr>
              <w:spacing w:before="80" w:after="80"/>
            </w:pPr>
            <w:r>
              <w:rPr>
                <w:b w:val="0"/>
                <w:sz w:val="18"/>
              </w:rPr>
              <w:t>Are sources, dates, limits, and unverified requirements visible?</w:t>
            </w:r>
          </w:p>
        </w:tc>
      </w:tr>
      <w:tr>
        <w:trPr>
          <w:cantSplit/>
        </w:trPr>
        <w:tc>
          <w:tcPr>
            <w:tcW w:type="dxa" w:w="864"/>
            <w:tcBorders>
              <w:top w:val="single" w:sz="4" w:color="D9D9D9"/>
              <w:bottom w:val="single" w:sz="4" w:color="D9D9D9"/>
              <w:left w:val="single" w:sz="4" w:color="D9D9D9"/>
              <w:right w:val="single" w:sz="4" w:color="D9D9D9"/>
            </w:tcBorders>
            <w:shd w:fill="FFFFFF"/>
          </w:tcPr>
          <w:p>
            <w:pPr>
              <w:spacing w:before="80" w:after="80"/>
            </w:pPr>
            <w:r>
              <w:rPr>
                <w:b w:val="0"/>
                <w:sz w:val="18"/>
              </w:rPr>
              <w:t>3</w:t>
            </w:r>
          </w:p>
        </w:tc>
        <w:tc>
          <w:tcPr>
            <w:tcW w:type="dxa" w:w="9360"/>
            <w:tcBorders>
              <w:top w:val="single" w:sz="4" w:color="D9D9D9"/>
              <w:bottom w:val="single" w:sz="4" w:color="D9D9D9"/>
              <w:left w:val="single" w:sz="4" w:color="D9D9D9"/>
              <w:right w:val="single" w:sz="4" w:color="D9D9D9"/>
            </w:tcBorders>
            <w:shd w:fill="FFFFFF"/>
          </w:tcPr>
          <w:p>
            <w:pPr>
              <w:spacing w:before="80" w:after="80"/>
            </w:pPr>
            <w:r>
              <w:rPr>
                <w:b w:val="0"/>
                <w:sz w:val="18"/>
              </w:rPr>
              <w:t>Are multiple careers and academic routes considered?</w:t>
            </w:r>
          </w:p>
        </w:tc>
      </w:tr>
      <w:tr>
        <w:trPr>
          <w:cantSplit/>
        </w:trPr>
        <w:tc>
          <w:tcPr>
            <w:tcW w:type="dxa" w:w="864"/>
            <w:tcBorders>
              <w:top w:val="single" w:sz="4" w:color="D9D9D9"/>
              <w:bottom w:val="single" w:sz="4" w:color="D9D9D9"/>
              <w:left w:val="single" w:sz="4" w:color="D9D9D9"/>
              <w:right w:val="single" w:sz="4" w:color="D9D9D9"/>
            </w:tcBorders>
            <w:shd w:fill="F5F5F5"/>
          </w:tcPr>
          <w:p>
            <w:pPr>
              <w:spacing w:before="80" w:after="80"/>
            </w:pPr>
            <w:r>
              <w:rPr>
                <w:b w:val="0"/>
                <w:sz w:val="18"/>
              </w:rPr>
              <w:t>4</w:t>
            </w:r>
          </w:p>
        </w:tc>
        <w:tc>
          <w:tcPr>
            <w:tcW w:type="dxa" w:w="9360"/>
            <w:tcBorders>
              <w:top w:val="single" w:sz="4" w:color="D9D9D9"/>
              <w:bottom w:val="single" w:sz="4" w:color="D9D9D9"/>
              <w:left w:val="single" w:sz="4" w:color="D9D9D9"/>
              <w:right w:val="single" w:sz="4" w:color="D9D9D9"/>
            </w:tcBorders>
            <w:shd w:fill="F5F5F5"/>
          </w:tcPr>
          <w:p>
            <w:pPr>
              <w:spacing w:before="80" w:after="80"/>
            </w:pPr>
            <w:r>
              <w:rPr>
                <w:b w:val="0"/>
                <w:sz w:val="18"/>
              </w:rPr>
              <w:t>Are the conversation questions useful and the experiment specific?</w:t>
            </w:r>
          </w:p>
        </w:tc>
      </w:tr>
    </w:tbl>
    <w:p>
      <w:pPr>
        <w:spacing w:after="100"/>
      </w:pPr>
      <w:r>
        <w:t>Feedback sentence: “The detail ___ helped because ___. I still need to understand ___. Try changing ___.”</w:t>
      </w:r>
    </w:p>
    <w:p>
      <w:pPr>
        <w:pStyle w:val="Heading2"/>
      </w:pPr>
      <w:r>
        <w:t>50 to 58 minutes Closing challenge</w:t>
      </w:r>
    </w:p>
    <w:p>
      <w:pPr>
        <w:spacing w:after="100"/>
      </w:pPr>
      <w:r>
        <w:t>Use four quiz questions from the instructor key: allow about 30 seconds to choose and 30 seconds to explain each answer, four minutes total. Then use four minutes for an adaptation challenge: two minutes to write a change and two minutes to compare with a partner.</w:t>
      </w:r>
    </w:p>
    <w:p>
      <w:pPr>
        <w:keepNext/>
        <w:spacing w:after="20" w:before="100"/>
      </w:pPr>
      <w:r>
        <w:rPr>
          <w:b/>
          <w:sz w:val="19"/>
        </w:rPr>
        <w:t>Adaptation prompt:</w:t>
      </w:r>
    </w:p>
    <w:p>
      <w:pPr>
        <w:keepLines/>
        <w:spacing w:after="100"/>
        <w:ind w:left="216"/>
      </w:pPr>
      <w:r>
        <w:t>“New experience gives you information that challenges your first interpretation. What would you revisit and how would you learn more?”</w:t>
      </w:r>
    </w:p>
    <w:p>
      <w:pPr>
        <w:pStyle w:val="Heading2"/>
      </w:pPr>
      <w:r>
        <w:t>58 to 60 minutes Exit commitment</w:t>
      </w:r>
    </w:p>
    <w:p>
      <w:pPr>
        <w:spacing w:after="100"/>
      </w:pPr>
      <w:r>
        <w:t>Collect the revised planner, one change made after feedback, and a specific next step with a date. Ask students to name a resource or person they will consult. Close with: “Use what you learned today, check what you still do not know, and revisit the plan after you act.”</w:t>
      </w:r>
    </w:p>
    <w:p>
      <w:pPr>
        <w:pStyle w:val="Heading1"/>
        <w:pageBreakBefore/>
      </w:pPr>
      <w:r>
        <w:t>Student planner</w:t>
      </w:r>
    </w:p>
    <w:p>
      <w:pPr>
        <w:spacing w:after="100"/>
      </w:pPr>
      <w:r>
        <w:t>Compare Careers and Academic Pathways</w:t>
      </w:r>
    </w:p>
    <w:p>
      <w:pPr>
        <w:spacing w:after="100"/>
      </w:pPr>
      <w:r>
        <w:t>Name ______________________________  Date __________________</w:t>
      </w:r>
    </w:p>
    <w:p>
      <w:pPr>
        <w:spacing w:after="100"/>
      </w:pPr>
      <w:r>
        <w:t>Use your own situation or the fictional case. You may anonymize details. Use a separate document if you need more room.</w:t>
      </w:r>
    </w:p>
    <w:p>
      <w:pPr>
        <w:pStyle w:val="Heading2"/>
      </w:pPr>
      <w:r>
        <w:t>1  Planning prompt</w:t>
      </w:r>
    </w:p>
    <w:p>
      <w:pPr>
        <w:spacing w:after="100"/>
      </w:pPr>
      <w:r>
        <w:t>List two careers and the interests, skills, and values that make each worth exploring.</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2  Planning prompt</w:t>
      </w:r>
    </w:p>
    <w:p>
      <w:pPr>
        <w:spacing w:after="100"/>
      </w:pPr>
      <w:r>
        <w:t>For each, record duties, work conditions, typical preparation, and one labor-market finding. Include source, date, geography, and what remains uncertain.</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3  Planning prompt</w:t>
      </w:r>
    </w:p>
    <w:p>
      <w:pPr>
        <w:spacing w:after="100"/>
      </w:pPr>
      <w:r>
        <w:t>Identify at least two academic routes or combinations of learning to investigate. Mark requirements that need confirmation from an official source.</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4  Planning prompt</w:t>
      </w:r>
    </w:p>
    <w:p>
      <w:pPr>
        <w:spacing w:after="100"/>
      </w:pPr>
      <w:r>
        <w:t>Draft a short request for a conversation and three questions. Identify an actual person or a realistic route to find one.</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5  Planning prompt</w:t>
      </w:r>
    </w:p>
    <w:p>
      <w:pPr>
        <w:spacing w:after="100"/>
      </w:pPr>
      <w:r>
        <w:t>Compare fit, note one assumption you revised, and design an experiment with a date. What finding would change your view?</w:t>
      </w:r>
    </w:p>
    <w:p>
      <w:pPr>
        <w:spacing w:after="100"/>
      </w:pPr>
      <w:r>
        <w:t>________________________________________________________________________________</w:t>
      </w:r>
    </w:p>
    <w:p>
      <w:pPr>
        <w:spacing w:after="100"/>
      </w:pPr>
      <w:r>
        <w:t>________________________________________________________________________________</w:t>
      </w:r>
    </w:p>
    <w:p>
      <w:pPr>
        <w:spacing w:after="100"/>
      </w:pPr>
      <w:r>
        <w:t>After feedback, the change I made was _______________________________________</w:t>
      </w:r>
    </w:p>
    <w:p>
      <w:pPr>
        <w:spacing w:after="100"/>
      </w:pPr>
      <w:r>
        <w:t>My next action and date __________________________________________________</w:t>
      </w:r>
    </w:p>
    <w:p>
      <w:pPr>
        <w:pStyle w:val="Heading1"/>
        <w:pageBreakBefore/>
      </w:pPr>
      <w:r>
        <w:t>Closing quiz instructor key</w:t>
      </w:r>
    </w:p>
    <w:p>
      <w:pPr>
        <w:spacing w:after="100"/>
      </w:pPr>
      <w:r>
        <w:t>Use these questions in Kahoot or read them aloud with A/B/C/D responses. The correct answers and explanations are for the facilitator. No live Kahoot game is included.</w:t>
      </w:r>
    </w:p>
    <w:p>
      <w:pPr>
        <w:spacing w:after="100"/>
      </w:pPr>
      <w:r>
        <w:rPr>
          <w:b/>
        </w:rPr>
        <w:t>1  What does occupational median pay tell you?</w:t>
      </w:r>
    </w:p>
    <w:p>
      <w:pPr>
        <w:spacing w:after="20"/>
        <w:ind w:left="216"/>
      </w:pPr>
      <w:r>
        <w:t>A  Your guaranteed offer</w:t>
      </w:r>
    </w:p>
    <w:p>
      <w:pPr>
        <w:spacing w:after="20"/>
        <w:ind w:left="216"/>
      </w:pPr>
      <w:r>
        <w:t>B  Typical starting pay for every graduate</w:t>
      </w:r>
    </w:p>
    <w:p>
      <w:pPr>
        <w:spacing w:after="20"/>
        <w:ind w:left="216"/>
      </w:pPr>
      <w:r>
        <w:t>C  A population statistic whose context needs checking</w:t>
      </w:r>
    </w:p>
    <w:p>
      <w:pPr>
        <w:spacing w:after="20"/>
        <w:ind w:left="216"/>
      </w:pPr>
      <w:r>
        <w:t>D  A required salary for every employer</w:t>
      </w:r>
    </w:p>
    <w:p>
      <w:pPr>
        <w:spacing w:after="100"/>
      </w:pPr>
      <w:r>
        <w:rPr>
          <w:b/>
        </w:rPr>
        <w:t>Correct answer  C — Check population, time, and geography; it is not an individual promise.</w:t>
      </w:r>
    </w:p>
    <w:p>
      <w:pPr>
        <w:spacing w:after="100"/>
      </w:pPr>
      <w:r>
        <w:rPr>
          <w:b/>
        </w:rPr>
        <w:t>2  Which is a stronger exploration question?</w:t>
      </w:r>
    </w:p>
    <w:p>
      <w:pPr>
        <w:spacing w:after="20"/>
        <w:ind w:left="216"/>
      </w:pPr>
      <w:r>
        <w:t>A  What are daily tasks and different preparation routes?</w:t>
      </w:r>
    </w:p>
    <w:p>
      <w:pPr>
        <w:spacing w:after="20"/>
        <w:ind w:left="216"/>
      </w:pPr>
      <w:r>
        <w:t>B  Which career should everyone choose?</w:t>
      </w:r>
    </w:p>
    <w:p>
      <w:pPr>
        <w:spacing w:after="20"/>
        <w:ind w:left="216"/>
      </w:pPr>
      <w:r>
        <w:t>C  Can you guarantee I will be hired?</w:t>
      </w:r>
    </w:p>
    <w:p>
      <w:pPr>
        <w:spacing w:after="20"/>
        <w:ind w:left="216"/>
      </w:pPr>
      <w:r>
        <w:t>D  Which major prevents all career changes?</w:t>
      </w:r>
    </w:p>
    <w:p>
      <w:pPr>
        <w:spacing w:after="100"/>
      </w:pPr>
      <w:r>
        <w:rPr>
          <w:b/>
        </w:rPr>
        <w:t>Correct answer  A — It produces information useful for comparison.</w:t>
      </w:r>
    </w:p>
    <w:p>
      <w:pPr>
        <w:spacing w:after="100"/>
      </w:pPr>
      <w:r>
        <w:rPr>
          <w:b/>
        </w:rPr>
        <w:t>3  How should academic routes be checked?</w:t>
      </w:r>
    </w:p>
    <w:p>
      <w:pPr>
        <w:spacing w:after="20"/>
        <w:ind w:left="216"/>
      </w:pPr>
      <w:r>
        <w:t>A  Assume one title means one major</w:t>
      </w:r>
    </w:p>
    <w:p>
      <w:pPr>
        <w:spacing w:after="20"/>
        <w:ind w:left="216"/>
      </w:pPr>
      <w:r>
        <w:t>B  Use official requirements and academic advising</w:t>
      </w:r>
    </w:p>
    <w:p>
      <w:pPr>
        <w:spacing w:after="20"/>
        <w:ind w:left="216"/>
      </w:pPr>
      <w:r>
        <w:t>C  Trust an unsourced social post</w:t>
      </w:r>
    </w:p>
    <w:p>
      <w:pPr>
        <w:spacing w:after="20"/>
        <w:ind w:left="216"/>
      </w:pPr>
      <w:r>
        <w:t>D  Choose solely by an occupation image</w:t>
      </w:r>
    </w:p>
    <w:p>
      <w:pPr>
        <w:spacing w:after="100"/>
      </w:pPr>
      <w:r>
        <w:rPr>
          <w:b/>
        </w:rPr>
        <w:t>Correct answer  B — Typical routes and actual requirements can differ.</w:t>
      </w:r>
    </w:p>
    <w:p>
      <w:pPr>
        <w:spacing w:after="100"/>
      </w:pPr>
      <w:r>
        <w:rPr>
          <w:b/>
        </w:rPr>
        <w:t>4  What makes exploration iterative?</w:t>
      </w:r>
    </w:p>
    <w:p>
      <w:pPr>
        <w:spacing w:after="20"/>
        <w:ind w:left="216"/>
      </w:pPr>
      <w:r>
        <w:t>A  Never revisiting a choice</w:t>
      </w:r>
    </w:p>
    <w:p>
      <w:pPr>
        <w:spacing w:after="20"/>
        <w:ind w:left="216"/>
      </w:pPr>
      <w:r>
        <w:t>B  Waiting for total certainty</w:t>
      </w:r>
    </w:p>
    <w:p>
      <w:pPr>
        <w:spacing w:after="20"/>
        <w:ind w:left="216"/>
      </w:pPr>
      <w:r>
        <w:t>C  Collecting facts without reflection</w:t>
      </w:r>
    </w:p>
    <w:p>
      <w:pPr>
        <w:spacing w:after="20"/>
        <w:ind w:left="216"/>
      </w:pPr>
      <w:r>
        <w:t>D  Testing an assumption and revising after new evidence</w:t>
      </w:r>
    </w:p>
    <w:p>
      <w:pPr>
        <w:spacing w:after="100"/>
      </w:pPr>
      <w:r>
        <w:rPr>
          <w:b/>
        </w:rPr>
        <w:t>Correct answer  D — An experiment helps inform the next inquiry.</w:t>
      </w:r>
    </w:p>
    <w:p>
      <w:pPr>
        <w:pStyle w:val="Heading1"/>
        <w:pageBreakBefore/>
      </w:pPr>
      <w:r>
        <w:t>Assess learning and connect resources</w:t>
      </w:r>
    </w:p>
    <w:p>
      <w:pPr>
        <w:pStyle w:val="Heading2"/>
      </w:pPr>
      <w:r>
        <w:t>What to collect and how to review it</w:t>
      </w:r>
    </w:p>
    <w:p>
      <w:pPr>
        <w:spacing w:after="100"/>
      </w:pPr>
      <w:r>
        <w:t>Use the feedback checklist to assess the revised product. Look for specific evidence, an explained choice, a response to feedback, and a feasible next action. Ask a follow-up when an element is missing. Do not score disclosure, confidence, accent, social connections, or access to a prestigious experience.</w:t>
      </w:r>
    </w:p>
    <w:p>
      <w:pPr>
        <w:pStyle w:val="Heading2"/>
      </w:pPr>
      <w:r>
        <w:t>Taskforce coverage</w:t>
      </w:r>
    </w:p>
    <w:p>
      <w:pPr>
        <w:pStyle w:val="ListBullet"/>
      </w:pPr>
      <w:r>
        <w:t>Expose students to careers, academic programs, and credible labor-market information.</w:t>
      </w:r>
    </w:p>
    <w:p>
      <w:pPr>
        <w:pStyle w:val="ListBullet"/>
      </w:pPr>
      <w:r>
        <w:t>Connect options with stated interests, skills, and values.</w:t>
      </w:r>
    </w:p>
    <w:p>
      <w:pPr>
        <w:pStyle w:val="ListBullet"/>
      </w:pPr>
      <w:r>
        <w:t>Rehearse outreach to professionals, advisors, faculty, or alumni, then schedule the real conversation as follow-through.</w:t>
      </w:r>
    </w:p>
    <w:p>
      <w:pPr>
        <w:pStyle w:val="ListBullet"/>
      </w:pPr>
      <w:r>
        <w:t>Use a hypothesis, experiment, and revision to make exploration iterative.</w:t>
      </w:r>
    </w:p>
    <w:p>
      <w:pPr>
        <w:pStyle w:val="ListBullet"/>
      </w:pPr>
      <w:r>
        <w:t>Compare fit and multiple routes, including adjacent and nonlinear possibilities.</w:t>
      </w:r>
    </w:p>
    <w:p>
      <w:pPr>
        <w:spacing w:after="100"/>
      </w:pPr>
      <w:r>
        <w:t>This session rehearses outreach. Complete the engagement criterion through follow-through: students conduct a conversation with an informed person and add what they learned to their comparison. Alternatively, invite a guest to answer prepared questions during a longer follow-up session. Do not report a drafted message as a completed conversation.</w:t>
      </w:r>
    </w:p>
    <w:p>
      <w:pPr>
        <w:pStyle w:val="Heading2"/>
      </w:pPr>
      <w:r>
        <w:t>Access and virtual delivery</w:t>
      </w:r>
    </w:p>
    <w:p>
      <w:pPr>
        <w:spacing w:after="100"/>
      </w:pPr>
      <w:r>
        <w:t>Share prompts ahead of time when useful. Allow private writing, chat, typed feedback, or a one-to-one exchange instead of public speaking. Use the fictional case when students lack a current opportunity. Provide accessible copies of any source excerpts. Keep paired practice and revision, with an equivalent accessible format where needed.</w:t>
      </w:r>
    </w:p>
    <w:p>
      <w:pPr>
        <w:pStyle w:val="Heading2"/>
      </w:pPr>
      <w:r>
        <w:t>Resources and follow through</w:t>
      </w:r>
    </w:p>
    <w:p>
      <w:pPr>
        <w:spacing w:after="100"/>
      </w:pPr>
      <w:r>
        <w:t>After class, ask students to take their dated step and briefly report what they learned. Use the following resources as starting points; tools, dates, and eligibility should be checked before each delivery. Program and employer instructions control actual requirements.</w:t>
      </w:r>
    </w:p>
    <w:p>
      <w:pPr>
        <w:spacing w:after="100"/>
      </w:pPr>
      <w:r>
        <w:t>BLS Occupational Outlook Handbook: https://www.bls.gov/ooh/</w:t>
      </w:r>
    </w:p>
    <w:p>
      <w:pPr>
        <w:spacing w:after="100"/>
      </w:pPr>
      <w:r>
        <w:t>O*NET OnLine: https://www.onetonline.org/</w:t>
      </w:r>
    </w:p>
    <w:p>
      <w:pPr>
        <w:spacing w:after="100"/>
      </w:pPr>
      <w:r>
        <w:t>Scarlet Career Mentoring Network: https://careers.rutgers.edu/Mentoring</w:t>
      </w:r>
    </w:p>
    <w:p>
      <w:pPr>
        <w:spacing w:after="100"/>
      </w:pPr>
      <w:r>
        <w:t>CES Guide: https://careers.rutgers.edu/students-alumni/career-internship-guide</w:t>
      </w:r>
    </w:p>
    <w:p>
      <w:pPr>
        <w:spacing w:after="100"/>
      </w:pPr>
      <w:r>
        <w:t>Framework reference: Building a Career-Ready Campus taskforce criteria supplied by the user. CES Career Journey descriptions reflect the user’s explanation. Resources checked November 1, 2026. Activities and examples are teaching adaptations.</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80"/>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47" w:lineRule="auto"/>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47" w:lineRule="auto"/>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Compare Careers and Academic Pathways</dc:title>
  <dc:subject/>
  <dc:creator>Career Exploration and Success</dc:creator>
  <cp:keywords/>
  <dc:description>generated by python-docx</dc:description>
  <cp:lastModifiedBy/>
  <cp:revision>1</cp:revision>
  <dcterms:created xsi:type="dcterms:W3CDTF">2013-12-23T23:15:00Z</dcterms:created>
  <dcterms:modified xsi:type="dcterms:W3CDTF">2013-12-23T23:15:00Z</dcterms:modified>
  <cp:category/>
</cp:coreProperties>
</file>