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Understand Yourself and Identify Possibilities</w:t>
      </w:r>
    </w:p>
    <w:p>
      <w:pPr>
        <w:spacing w:after="100"/>
      </w:pPr>
      <w:r>
        <w:t>60 minute lesson plan and facilitator teaching guide</w:t>
      </w:r>
    </w:p>
    <w:p>
      <w:pPr>
        <w:spacing w:after="100"/>
      </w:pPr>
      <w:r>
        <w:t>Career Journey phase  Discover Yourself</w:t>
      </w:r>
    </w:p>
    <w:p>
      <w:pPr>
        <w:spacing w:after="100"/>
      </w:pPr>
      <w:r>
        <w:t>Students examine who they are, interpret patterns in their experiences, and develop a tentative direction they can test and revisit.</w:t>
      </w:r>
    </w:p>
    <w:p>
      <w:pPr>
        <w:pStyle w:val="Heading2"/>
      </w:pPr>
      <w:r>
        <w:t>Learning objectives</w:t>
      </w:r>
    </w:p>
    <w:p>
      <w:pPr>
        <w:pStyle w:val="ListBullet"/>
      </w:pPr>
      <w:r>
        <w:t>Identify interests, strengths, values, skills, motivations, and preferences using personal examples.</w:t>
      </w:r>
    </w:p>
    <w:p>
      <w:pPr>
        <w:pStyle w:val="ListBullet"/>
      </w:pPr>
      <w:r>
        <w:t>Explain how a transferable skill can appear in different settings.</w:t>
      </w:r>
    </w:p>
    <w:p>
      <w:pPr>
        <w:pStyle w:val="ListBullet"/>
      </w:pPr>
      <w:r>
        <w:t>Interpret patterns without treating an assessment or preference as a fixed career prescription.</w:t>
      </w:r>
    </w:p>
    <w:p>
      <w:pPr>
        <w:pStyle w:val="ListBullet"/>
      </w:pPr>
      <w:r>
        <w:t>Choose a small exploration action and a date to reflect again.</w:t>
      </w:r>
    </w:p>
    <w:p>
      <w:pPr>
        <w:pStyle w:val="Heading2"/>
      </w:pPr>
      <w:r>
        <w:t>Session schedule</w:t>
      </w:r>
    </w:p>
    <w:tbl>
      <w:tblPr>
        <w:tblW w:type="auto" w:w="0"/>
        <w:tblLayout w:type="fixed"/>
        <w:tblLook w:firstColumn="1" w:firstRow="1" w:lastColumn="0" w:lastRow="0" w:noHBand="0" w:noVBand="1" w:val="04A0"/>
      </w:tblPr>
      <w:tblGrid>
        <w:gridCol w:w="936"/>
        <w:gridCol w:w="2448"/>
        <w:gridCol w:w="6840"/>
      </w:tblGrid>
      <w:tr>
        <w:trPr>
          <w:cantSplit/>
          <w:tblHeader/>
        </w:trPr>
        <w:tc>
          <w:tcPr>
            <w:tcW w:type="dxa" w:w="936"/>
            <w:tcBorders>
              <w:top w:val="single" w:sz="4" w:color="D9D9D9"/>
              <w:bottom w:val="single" w:sz="4" w:color="D9D9D9"/>
              <w:left w:val="single" w:sz="4" w:color="D9D9D9"/>
              <w:right w:val="single" w:sz="4" w:color="D9D9D9"/>
            </w:tcBorders>
            <w:shd w:fill="E6EBEE"/>
          </w:tcPr>
          <w:p>
            <w:pPr>
              <w:spacing w:before="80" w:after="80"/>
            </w:pPr>
            <w:r>
              <w:rPr>
                <w:b/>
                <w:sz w:val="18"/>
              </w:rPr>
              <w:t>Time</w:t>
            </w:r>
          </w:p>
        </w:tc>
        <w:tc>
          <w:tcPr>
            <w:tcW w:type="dxa" w:w="2448"/>
            <w:tcBorders>
              <w:top w:val="single" w:sz="4" w:color="D9D9D9"/>
              <w:bottom w:val="single" w:sz="4" w:color="D9D9D9"/>
              <w:left w:val="single" w:sz="4" w:color="D9D9D9"/>
              <w:right w:val="single" w:sz="4" w:color="D9D9D9"/>
            </w:tcBorders>
            <w:shd w:fill="E6EBEE"/>
          </w:tcPr>
          <w:p>
            <w:pPr>
              <w:spacing w:before="80" w:after="80"/>
            </w:pPr>
            <w:r>
              <w:rPr>
                <w:b/>
                <w:sz w:val="18"/>
              </w:rPr>
              <w:t>Activity</w:t>
            </w:r>
          </w:p>
        </w:tc>
        <w:tc>
          <w:tcPr>
            <w:tcW w:type="dxa" w:w="6840"/>
            <w:tcBorders>
              <w:top w:val="single" w:sz="4" w:color="D9D9D9"/>
              <w:bottom w:val="single" w:sz="4" w:color="D9D9D9"/>
              <w:left w:val="single" w:sz="4" w:color="D9D9D9"/>
              <w:right w:val="single" w:sz="4" w:color="D9D9D9"/>
            </w:tcBorders>
            <w:shd w:fill="E6EBEE"/>
          </w:tcPr>
          <w:p>
            <w:pPr>
              <w:spacing w:before="80" w:after="80"/>
            </w:pPr>
            <w:r>
              <w:rPr>
                <w:b/>
                <w:sz w:val="18"/>
              </w:rPr>
              <w:t>Student action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0–5</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Opening challenge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Try a task or make a choice before explanation.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5–12</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Brief teaching and check</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Use key terms to explain a choice.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12–20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Analyze a shared case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Identify a gap and propose a better approach.</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20–35</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Create a first draft</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Use the planner and evidence.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35–50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Practice and revise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Exchange individual feedback and try again.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50–58</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Closing challenge</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Answer four questions and adapt the plan.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58–60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Exit commitment</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Submit a revised product and next action.</w:t>
            </w:r>
          </w:p>
        </w:tc>
      </w:tr>
    </w:tbl>
    <w:p>
      <w:pPr>
        <w:pStyle w:val="Heading2"/>
      </w:pPr>
      <w:r>
        <w:t>Preparation and materials</w:t>
      </w:r>
    </w:p>
    <w:p>
      <w:pPr>
        <w:spacing w:after="100"/>
      </w:pPr>
      <w:r>
        <w:t>Read this guide and the linked resources before teaching. Rehearse the worked example. Print the Student planner and make the key terms and feedback checklist available. Prepare a timer, writing space, and A/B/C/D response method. Slides and paid tools are not required. Keep the instructor answer key separate from student materials.</w:t>
      </w:r>
    </w:p>
    <w:p>
      <w:pPr>
        <w:pStyle w:val="Heading1"/>
        <w:pageBreakBefore/>
      </w:pPr>
      <w:r>
        <w:t>Background for a first time facilitator</w:t>
      </w:r>
    </w:p>
    <w:p>
      <w:pPr>
        <w:spacing w:after="100"/>
      </w:pPr>
      <w:r>
        <w:t>Read these terms before class. Introduce them with a short example rather than assuming students know the vocabulary. The teaching suggestions and fictional cases are instructional adaptations, not records of actual outcomes.</w:t>
      </w:r>
    </w:p>
    <w:tbl>
      <w:tblPr>
        <w:tblW w:type="auto" w:w="0"/>
        <w:tblLayout w:type="fixed"/>
        <w:tblLook w:firstColumn="1" w:firstRow="1" w:lastColumn="0" w:lastRow="0" w:noHBand="0" w:noVBand="1" w:val="04A0"/>
      </w:tblPr>
      <w:tblGrid>
        <w:gridCol w:w="2232"/>
        <w:gridCol w:w="7992"/>
      </w:tblGrid>
      <w:tr>
        <w:trPr>
          <w:cantSplit/>
          <w:tblHeader/>
        </w:trPr>
        <w:tc>
          <w:tcPr>
            <w:tcW w:type="dxa" w:w="2232"/>
            <w:tcBorders>
              <w:top w:val="single" w:sz="4" w:color="D9D9D9"/>
              <w:bottom w:val="single" w:sz="4" w:color="D9D9D9"/>
              <w:left w:val="single" w:sz="4" w:color="D9D9D9"/>
              <w:right w:val="single" w:sz="4" w:color="D9D9D9"/>
            </w:tcBorders>
            <w:shd w:fill="E6EBEE"/>
          </w:tcPr>
          <w:p>
            <w:pPr>
              <w:spacing w:before="80" w:after="80"/>
            </w:pPr>
            <w:r>
              <w:rPr>
                <w:b/>
                <w:sz w:val="18"/>
              </w:rPr>
              <w:t>Term</w:t>
            </w:r>
          </w:p>
        </w:tc>
        <w:tc>
          <w:tcPr>
            <w:tcW w:type="dxa" w:w="7992"/>
            <w:tcBorders>
              <w:top w:val="single" w:sz="4" w:color="D9D9D9"/>
              <w:bottom w:val="single" w:sz="4" w:color="D9D9D9"/>
              <w:left w:val="single" w:sz="4" w:color="D9D9D9"/>
              <w:right w:val="single" w:sz="4" w:color="D9D9D9"/>
            </w:tcBorders>
            <w:shd w:fill="E6EBEE"/>
          </w:tcPr>
          <w:p>
            <w:pPr>
              <w:spacing w:before="80" w:after="80"/>
            </w:pPr>
            <w:r>
              <w:rPr>
                <w:b/>
                <w:sz w:val="18"/>
              </w:rPr>
              <w:t>What it means</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Interest</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An activity or question that draws your attention.</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Skill and strength</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A skill is an ability you can develop; a strength is something you do well, supported by examples or feedback.</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Value and motivation</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A value is something that matters to you; motivation concerns why you choose or persist in an activity.</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Preference</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A setting or way of working you tend to favor. Preferences can change with experience.</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Transferable skill</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An ability usable in several settings. Explaining a class idea clearly may also help in work or service.</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Interpretation</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Making a tentative meaning from evidence and considering other explanations. It is not a diagnosis.</w:t>
            </w:r>
          </w:p>
        </w:tc>
      </w:tr>
    </w:tbl>
    <w:p>
      <w:pPr>
        <w:pStyle w:val="Heading2"/>
      </w:pPr>
      <w:r>
        <w:t>A short explanation you can use</w:t>
      </w:r>
    </w:p>
    <w:p>
      <w:pPr>
        <w:keepNext/>
        <w:spacing w:after="20" w:before="100"/>
      </w:pPr>
      <w:r>
        <w:rPr>
          <w:b/>
          <w:sz w:val="19"/>
        </w:rPr>
        <w:t>Say to students:</w:t>
      </w:r>
    </w:p>
    <w:p>
      <w:pPr>
        <w:keepLines/>
        <w:spacing w:after="100"/>
        <w:ind w:left="216"/>
      </w:pPr>
      <w:r>
        <w:t>“We learn about ourselves by noticing patterns in what we do, what matters to us, and the feedback we receive. One moment can suggest a question; several examples help us test it. A self-discovery tool can start a conversation, but it does not select your career for you. Your identity and circumstances can shape what feels possible; you can investigate those influences without treating them as permanent limits.”</w:t>
      </w:r>
    </w:p>
    <w:p>
      <w:pPr>
        <w:pStyle w:val="Heading2"/>
      </w:pPr>
      <w:r>
        <w:t>A worked response</w:t>
      </w:r>
    </w:p>
    <w:p>
      <w:pPr>
        <w:spacing w:after="100"/>
      </w:pPr>
      <w:r>
        <w:t>I enjoy finding patterns and explaining them, and I value participation. My club report and a class discussion provide examples. I will compare analytical and education-related roles and ask someone about the mix of independent and collaborative work. After that conversation, I will revisit whether my preference is about group work itself or how participation is organized.</w:t>
      </w:r>
    </w:p>
    <w:p>
      <w:pPr>
        <w:pStyle w:val="Heading2"/>
      </w:pPr>
      <w:r>
        <w:t>What to look for</w:t>
      </w:r>
    </w:p>
    <w:p>
      <w:pPr>
        <w:spacing w:after="100"/>
      </w:pPr>
      <w:r>
        <w:t>A useful response explains a choice with evidence and identifies what remains uncertain. An activity completed without interpretation, practice, or feedback does not demonstrate the full purpose of the lesson.</w:t>
      </w:r>
    </w:p>
    <w:p>
      <w:pPr>
        <w:pStyle w:val="Heading1"/>
        <w:pageBreakBefore/>
      </w:pPr>
      <w:r>
        <w:t>Facilitate the opening and teaching</w:t>
      </w:r>
    </w:p>
    <w:p>
      <w:pPr>
        <w:pStyle w:val="Heading2"/>
      </w:pPr>
      <w:r>
        <w:t>0 to 5 minutes Opening challenge</w:t>
      </w:r>
    </w:p>
    <w:p>
      <w:pPr>
        <w:keepNext/>
        <w:spacing w:after="20" w:before="100"/>
      </w:pPr>
      <w:r>
        <w:rPr>
          <w:b/>
          <w:sz w:val="19"/>
        </w:rPr>
        <w:t>Facilitator actions:</w:t>
      </w:r>
    </w:p>
    <w:p>
      <w:pPr>
        <w:keepLines/>
        <w:spacing w:after="100"/>
        <w:ind w:left="216"/>
      </w:pPr>
      <w:r>
        <w:t>Read the prompt below. Give one minute to think, two minutes for partners to try it, and two minutes to hear two observations. Start with participation before explaining the framework.</w:t>
      </w:r>
    </w:p>
    <w:p>
      <w:pPr>
        <w:keepNext/>
        <w:spacing w:after="20" w:before="100"/>
      </w:pPr>
      <w:r>
        <w:rPr>
          <w:b/>
          <w:sz w:val="19"/>
        </w:rPr>
        <w:t>Say to students:</w:t>
      </w:r>
    </w:p>
    <w:p>
      <w:pPr>
        <w:keepLines/>
        <w:spacing w:after="100"/>
        <w:ind w:left="216"/>
      </w:pPr>
      <w:r>
        <w:t>“Recall one moment this term when you felt absorbed, proud, or frustrated. Write what you were doing and one detail that explains your reaction. Share only what you choose.”</w:t>
      </w:r>
    </w:p>
    <w:p>
      <w:pPr>
        <w:keepNext/>
        <w:spacing w:after="20" w:before="100"/>
      </w:pPr>
      <w:r>
        <w:rPr>
          <w:b/>
          <w:sz w:val="19"/>
        </w:rPr>
        <w:t>Ask students:</w:t>
      </w:r>
    </w:p>
    <w:p>
      <w:pPr>
        <w:keepLines/>
        <w:spacing w:after="100"/>
        <w:ind w:left="216"/>
      </w:pPr>
      <w:r>
        <w:t>“What did you notice, and what would help you improve your next attempt?”</w:t>
      </w:r>
    </w:p>
    <w:p>
      <w:pPr>
        <w:keepNext/>
        <w:spacing w:after="20" w:before="100"/>
      </w:pPr>
      <w:r>
        <w:rPr>
          <w:b/>
          <w:sz w:val="19"/>
        </w:rPr>
        <w:t>Expected responses:</w:t>
      </w:r>
    </w:p>
    <w:p>
      <w:pPr>
        <w:keepLines/>
        <w:spacing w:after="100"/>
        <w:ind w:left="216"/>
      </w:pPr>
      <w:r>
        <w:t>A specific observation about the task, a choice, or a gap in information.</w:t>
      </w:r>
    </w:p>
    <w:p>
      <w:pPr>
        <w:keepNext/>
        <w:spacing w:after="20" w:before="100"/>
      </w:pPr>
      <w:r>
        <w:rPr>
          <w:b/>
          <w:sz w:val="19"/>
        </w:rPr>
        <w:t>If students need support:</w:t>
      </w:r>
    </w:p>
    <w:p>
      <w:pPr>
        <w:keepLines/>
        <w:spacing w:after="100"/>
        <w:ind w:left="216"/>
      </w:pPr>
      <w:r>
        <w:t>For “I have no skills,” ask about a task someone trusted them to do. For a single career verdict, ask what other possibilities could use the same interests or skills. Do not interpret psychological results or make assumptions about identity. Students can use a self-discovery inventory instead of a formal assessment.</w:t>
      </w:r>
    </w:p>
    <w:p>
      <w:pPr>
        <w:keepNext/>
        <w:spacing w:after="20" w:before="100"/>
      </w:pPr>
      <w:r>
        <w:rPr>
          <w:b/>
          <w:sz w:val="19"/>
        </w:rPr>
        <w:t>Transition to the next activity:</w:t>
      </w:r>
    </w:p>
    <w:p>
      <w:pPr>
        <w:keepLines/>
        <w:spacing w:after="100"/>
        <w:ind w:left="216"/>
      </w:pPr>
      <w:r>
        <w:t>“Let us add language and a method that can help with the next attempt.”</w:t>
      </w:r>
    </w:p>
    <w:p>
      <w:pPr>
        <w:pStyle w:val="Heading2"/>
      </w:pPr>
      <w:r>
        <w:t>5 to 12 minutes Brief teaching and check</w:t>
      </w:r>
    </w:p>
    <w:p>
      <w:pPr>
        <w:keepNext/>
        <w:spacing w:after="20" w:before="100"/>
      </w:pPr>
      <w:r>
        <w:rPr>
          <w:b/>
          <w:sz w:val="19"/>
        </w:rPr>
        <w:t>Facilitator actions:</w:t>
      </w:r>
    </w:p>
    <w:p>
      <w:pPr>
        <w:keepLines/>
        <w:spacing w:after="100"/>
        <w:ind w:left="216"/>
      </w:pPr>
      <w:r>
        <w:t>Use three minutes to explain the key terms and short explanation from the Background section. Give pairs two minutes to apply two terms to their opening response. Use two minutes to hear examples and correct a misconception.</w:t>
      </w:r>
    </w:p>
    <w:p>
      <w:pPr>
        <w:keepNext/>
        <w:spacing w:after="20" w:before="100"/>
      </w:pPr>
      <w:r>
        <w:rPr>
          <w:b/>
          <w:sz w:val="19"/>
        </w:rPr>
        <w:t>Say to students:</w:t>
      </w:r>
    </w:p>
    <w:p>
      <w:pPr>
        <w:keepLines/>
        <w:spacing w:after="100"/>
        <w:ind w:left="216"/>
      </w:pPr>
      <w:r>
        <w:t>“Use two of these ideas to explain what you would change in your opening response. What would make that change useful?”</w:t>
      </w:r>
    </w:p>
    <w:p>
      <w:pPr>
        <w:keepNext/>
        <w:spacing w:after="20" w:before="100"/>
      </w:pPr>
      <w:r>
        <w:rPr>
          <w:b/>
          <w:sz w:val="19"/>
        </w:rPr>
        <w:t>Expected responses:</w:t>
      </w:r>
    </w:p>
    <w:p>
      <w:pPr>
        <w:keepLines/>
        <w:spacing w:after="100"/>
        <w:ind w:left="216"/>
      </w:pPr>
      <w:r>
        <w:t>A term used accurately, with a reason rather than only a definition.</w:t>
      </w:r>
    </w:p>
    <w:p>
      <w:pPr>
        <w:keepNext/>
        <w:spacing w:after="20" w:before="100"/>
      </w:pPr>
      <w:r>
        <w:rPr>
          <w:b/>
          <w:sz w:val="19"/>
        </w:rPr>
        <w:t>If students need support:</w:t>
      </w:r>
    </w:p>
    <w:p>
      <w:pPr>
        <w:keepLines/>
        <w:spacing w:after="100"/>
        <w:ind w:left="216"/>
      </w:pPr>
      <w:r>
        <w:t>Point to the worked response and ask which detail illustrates the term. Explain one distinction before asking students to try again.</w:t>
      </w:r>
    </w:p>
    <w:p>
      <w:pPr>
        <w:keepNext/>
        <w:spacing w:after="20" w:before="100"/>
      </w:pPr>
      <w:r>
        <w:rPr>
          <w:b/>
          <w:sz w:val="19"/>
        </w:rPr>
        <w:t>Transition to the next activity:</w:t>
      </w:r>
    </w:p>
    <w:p>
      <w:pPr>
        <w:keepLines/>
        <w:spacing w:after="100"/>
        <w:ind w:left="216"/>
      </w:pPr>
      <w:r>
        <w:t>“We will test the method on a shared example before you create your own plan.”</w:t>
      </w:r>
    </w:p>
    <w:p>
      <w:pPr>
        <w:pStyle w:val="Heading1"/>
        <w:pageBreakBefore/>
      </w:pPr>
      <w:r>
        <w:t>Analyze a case and build a first draft</w:t>
      </w:r>
    </w:p>
    <w:p>
      <w:pPr>
        <w:pStyle w:val="Heading2"/>
      </w:pPr>
      <w:r>
        <w:t>12 to 20 minutes Shared case</w:t>
      </w:r>
    </w:p>
    <w:p>
      <w:pPr>
        <w:keepNext/>
        <w:spacing w:after="20" w:before="100"/>
      </w:pPr>
      <w:r>
        <w:rPr>
          <w:b/>
          <w:sz w:val="19"/>
        </w:rPr>
        <w:t>Read aloud:</w:t>
      </w:r>
    </w:p>
    <w:p>
      <w:pPr>
        <w:keepLines/>
        <w:spacing w:after="100"/>
        <w:ind w:left="216"/>
      </w:pPr>
      <w:r>
        <w:t>Alex enjoyed analyzing club attendance, felt energized when explaining a pattern to others, and disliked a meeting in which only a few people could speak. Alex concludes: “I must become a data analyst, and I cannot work in groups.”</w:t>
      </w:r>
    </w:p>
    <w:p>
      <w:pPr>
        <w:keepNext/>
        <w:spacing w:after="20" w:before="100"/>
      </w:pPr>
      <w:r>
        <w:rPr>
          <w:b/>
          <w:sz w:val="19"/>
        </w:rPr>
        <w:t>Facilitator actions:</w:t>
      </w:r>
    </w:p>
    <w:p>
      <w:pPr>
        <w:keepLines/>
        <w:spacing w:after="100"/>
        <w:ind w:left="216"/>
      </w:pPr>
      <w:r>
        <w:t>Give pairs three minutes to identify a gap and recommend a change. Use three minutes to hear two recommendations and explain the answer guidance. Spend the final two minutes modeling a revised response or the worked example.</w:t>
      </w:r>
    </w:p>
    <w:p>
      <w:pPr>
        <w:keepNext/>
        <w:spacing w:after="20" w:before="100"/>
      </w:pPr>
      <w:r>
        <w:rPr>
          <w:b/>
          <w:sz w:val="19"/>
        </w:rPr>
        <w:t>Ask students:</w:t>
      </w:r>
    </w:p>
    <w:p>
      <w:pPr>
        <w:keepLines/>
        <w:spacing w:after="100"/>
        <w:ind w:left="216"/>
      </w:pPr>
      <w:r>
        <w:t>“What is missing? What evidence or information would help? What would you change first?”</w:t>
      </w:r>
    </w:p>
    <w:p>
      <w:pPr>
        <w:keepNext/>
        <w:spacing w:after="20" w:before="100"/>
      </w:pPr>
      <w:r>
        <w:rPr>
          <w:b/>
          <w:sz w:val="19"/>
        </w:rPr>
        <w:t>Answer guidance:</w:t>
      </w:r>
    </w:p>
    <w:p>
      <w:pPr>
        <w:keepLines/>
        <w:spacing w:after="100"/>
        <w:ind w:left="216"/>
      </w:pPr>
      <w:r>
        <w:t>Analysis may be an interest or skill; explaining patterns suggests communication; the meeting reaction may reflect a value of participation rather than a dislike of groups. Ask for more examples and feedback before drawing a broad conclusion. Data analysis is one possibility to investigate, not a conclusion established by the story.</w:t>
      </w:r>
    </w:p>
    <w:p>
      <w:pPr>
        <w:pStyle w:val="Heading2"/>
      </w:pPr>
      <w:r>
        <w:t>20 to 35 minutes Main activity</w:t>
      </w:r>
    </w:p>
    <w:p>
      <w:pPr>
        <w:keepNext/>
        <w:spacing w:after="20" w:before="100"/>
      </w:pPr>
      <w:r>
        <w:rPr>
          <w:b/>
          <w:sz w:val="19"/>
        </w:rPr>
        <w:t>Facilitator actions:</w:t>
      </w:r>
    </w:p>
    <w:p>
      <w:pPr>
        <w:keepLines/>
        <w:spacing w:after="100"/>
        <w:ind w:left="216"/>
      </w:pPr>
      <w:r>
        <w:t>Use the Self discovery evidence worksheet. Spend four minutes describing two different moments, four identifying possible patterns, three interpreting what those patterns suggest about identity or direction, and four identifying uncertainties and a small experiment. The opening moment can be one example. A student may use Alex’s case rather than disclose personal information.</w:t>
      </w:r>
    </w:p>
    <w:p>
      <w:pPr>
        <w:keepNext/>
        <w:spacing w:after="20" w:before="100"/>
      </w:pPr>
      <w:r>
        <w:rPr>
          <w:b/>
          <w:sz w:val="19"/>
        </w:rPr>
        <w:t>Say to students:</w:t>
      </w:r>
    </w:p>
    <w:p>
      <w:pPr>
        <w:keepLines/>
        <w:spacing w:after="100"/>
        <w:ind w:left="216"/>
      </w:pPr>
      <w:r>
        <w:t>“Create a first draft using the planner. Mark anything you do not know instead of inventing a fact. You will receive feedback and revise.”</w:t>
      </w:r>
    </w:p>
    <w:p>
      <w:pPr>
        <w:keepNext/>
        <w:spacing w:after="20" w:before="100"/>
      </w:pPr>
      <w:r>
        <w:rPr>
          <w:b/>
          <w:sz w:val="19"/>
        </w:rPr>
        <w:t>Coaching guidance:</w:t>
      </w:r>
    </w:p>
    <w:p>
      <w:pPr>
        <w:keepLines/>
        <w:spacing w:after="100"/>
        <w:ind w:left="216"/>
      </w:pPr>
      <w:r>
        <w:t>For “I have no skills,” ask about a task someone trusted them to do. For a single career verdict, ask what other possibilities could use the same interests or skills. Do not interpret psychological results or make assumptions about identity. Students can use a self-discovery inventory instead of a formal assessment.</w:t>
      </w:r>
    </w:p>
    <w:p>
      <w:pPr>
        <w:keepNext/>
        <w:spacing w:after="20" w:before="100"/>
      </w:pPr>
      <w:r>
        <w:rPr>
          <w:b/>
          <w:sz w:val="19"/>
        </w:rPr>
        <w:t>Transition to the next activity:</w:t>
      </w:r>
    </w:p>
    <w:p>
      <w:pPr>
        <w:keepLines/>
        <w:spacing w:after="100"/>
        <w:ind w:left="216"/>
      </w:pPr>
      <w:r>
        <w:t>“Choose the part of your draft you most want a listener to test.”</w:t>
      </w:r>
    </w:p>
    <w:p>
      <w:pPr>
        <w:pStyle w:val="Heading1"/>
        <w:pageBreakBefore/>
      </w:pPr>
      <w:r>
        <w:t>Practice give feedback and reinforce learning</w:t>
      </w:r>
    </w:p>
    <w:p>
      <w:pPr>
        <w:pStyle w:val="Heading2"/>
      </w:pPr>
      <w:r>
        <w:t>35 to 50 minutes Individual feedback and revision</w:t>
      </w:r>
    </w:p>
    <w:p>
      <w:pPr>
        <w:keepNext/>
        <w:spacing w:after="20" w:before="100"/>
      </w:pPr>
      <w:r>
        <w:rPr>
          <w:b/>
          <w:sz w:val="19"/>
        </w:rPr>
        <w:t>Facilitator actions:</w:t>
      </w:r>
    </w:p>
    <w:p>
      <w:pPr>
        <w:keepLines/>
        <w:spacing w:after="100"/>
        <w:ind w:left="216"/>
      </w:pPr>
      <w:r>
        <w:t>35–39: Partner A explains or role-plays the draft for two minutes; Partner B gives two minutes of specific feedback using the checklist below. 39–43: Swap. 43–46: Both revise. 46–50: Each gives a two-minute revised attempt. Use the role instructions below for the listener.</w:t>
      </w:r>
    </w:p>
    <w:p>
      <w:pPr>
        <w:keepNext/>
        <w:spacing w:after="20" w:before="100"/>
      </w:pPr>
      <w:r>
        <w:rPr>
          <w:b/>
          <w:sz w:val="19"/>
        </w:rPr>
        <w:t>Say to students:</w:t>
      </w:r>
    </w:p>
    <w:p>
      <w:pPr>
        <w:keepLines/>
        <w:spacing w:after="100"/>
        <w:ind w:left="216"/>
      </w:pPr>
      <w:r>
        <w:t>“Identify one detail that works, one question you still have, and one change the speaker can make. Respond to the actual draft, then listen for the change in the second attempt.”</w:t>
      </w:r>
    </w:p>
    <w:p>
      <w:pPr>
        <w:spacing w:after="100"/>
      </w:pPr>
      <w:r>
        <w:t>Listener role: Act as a reviewer or advisor. Ask the speaker to explain their reasoning and point out information that needs clarification.</w:t>
      </w:r>
    </w:p>
    <w:tbl>
      <w:tblPr>
        <w:tblW w:type="auto" w:w="0"/>
        <w:tblLayout w:type="fixed"/>
        <w:tblLook w:firstColumn="1" w:firstRow="1" w:lastColumn="0" w:lastRow="0" w:noHBand="0" w:noVBand="1" w:val="04A0"/>
      </w:tblPr>
      <w:tblGrid>
        <w:gridCol w:w="864"/>
        <w:gridCol w:w="9360"/>
      </w:tblGrid>
      <w:tr>
        <w:trPr>
          <w:cantSplit/>
          <w:tblHeader/>
        </w:trPr>
        <w:tc>
          <w:tcPr>
            <w:tcW w:type="dxa" w:w="864"/>
            <w:tcBorders>
              <w:top w:val="single" w:sz="4" w:color="D9D9D9"/>
              <w:bottom w:val="single" w:sz="4" w:color="D9D9D9"/>
              <w:left w:val="single" w:sz="4" w:color="D9D9D9"/>
              <w:right w:val="single" w:sz="4" w:color="D9D9D9"/>
            </w:tcBorders>
            <w:shd w:fill="E6EBEE"/>
          </w:tcPr>
          <w:p>
            <w:pPr>
              <w:spacing w:before="80" w:after="80"/>
            </w:pPr>
            <w:r>
              <w:rPr>
                <w:b/>
                <w:sz w:val="18"/>
              </w:rPr>
              <w:t>Check</w:t>
            </w:r>
          </w:p>
        </w:tc>
        <w:tc>
          <w:tcPr>
            <w:tcW w:type="dxa" w:w="9360"/>
            <w:tcBorders>
              <w:top w:val="single" w:sz="4" w:color="D9D9D9"/>
              <w:bottom w:val="single" w:sz="4" w:color="D9D9D9"/>
              <w:left w:val="single" w:sz="4" w:color="D9D9D9"/>
              <w:right w:val="single" w:sz="4" w:color="D9D9D9"/>
            </w:tcBorders>
            <w:shd w:fill="E6EBEE"/>
          </w:tcPr>
          <w:p>
            <w:pPr>
              <w:spacing w:before="80" w:after="80"/>
            </w:pPr>
            <w:r>
              <w:rPr>
                <w:b/>
                <w:sz w:val="18"/>
              </w:rPr>
              <w:t>Question for the listener</w:t>
            </w:r>
          </w:p>
        </w:tc>
      </w:tr>
      <w:tr>
        <w:trPr>
          <w:cantSplit/>
        </w:trPr>
        <w:tc>
          <w:tcPr>
            <w:tcW w:type="dxa" w:w="864"/>
            <w:tcBorders>
              <w:top w:val="single" w:sz="4" w:color="D9D9D9"/>
              <w:bottom w:val="single" w:sz="4" w:color="D9D9D9"/>
              <w:left w:val="single" w:sz="4" w:color="D9D9D9"/>
              <w:right w:val="single" w:sz="4" w:color="D9D9D9"/>
            </w:tcBorders>
            <w:shd w:fill="FFFFFF"/>
          </w:tcPr>
          <w:p>
            <w:pPr>
              <w:spacing w:before="80" w:after="80"/>
            </w:pPr>
            <w:r>
              <w:rPr>
                <w:b w:val="0"/>
                <w:sz w:val="18"/>
              </w:rPr>
              <w:t>1</w:t>
            </w:r>
          </w:p>
        </w:tc>
        <w:tc>
          <w:tcPr>
            <w:tcW w:type="dxa" w:w="9360"/>
            <w:tcBorders>
              <w:top w:val="single" w:sz="4" w:color="D9D9D9"/>
              <w:bottom w:val="single" w:sz="4" w:color="D9D9D9"/>
              <w:left w:val="single" w:sz="4" w:color="D9D9D9"/>
              <w:right w:val="single" w:sz="4" w:color="D9D9D9"/>
            </w:tcBorders>
            <w:shd w:fill="FFFFFF"/>
          </w:tcPr>
          <w:p>
            <w:pPr>
              <w:spacing w:before="80" w:after="80"/>
            </w:pPr>
            <w:r>
              <w:rPr>
                <w:b w:val="0"/>
                <w:sz w:val="18"/>
              </w:rPr>
              <w:t>Does the interpretation cite specific experience or feedback?</w:t>
            </w:r>
          </w:p>
        </w:tc>
      </w:tr>
      <w:tr>
        <w:trPr>
          <w:cantSplit/>
        </w:trPr>
        <w:tc>
          <w:tcPr>
            <w:tcW w:type="dxa" w:w="864"/>
            <w:tcBorders>
              <w:top w:val="single" w:sz="4" w:color="D9D9D9"/>
              <w:bottom w:val="single" w:sz="4" w:color="D9D9D9"/>
              <w:left w:val="single" w:sz="4" w:color="D9D9D9"/>
              <w:right w:val="single" w:sz="4" w:color="D9D9D9"/>
            </w:tcBorders>
            <w:shd w:fill="F5F5F5"/>
          </w:tcPr>
          <w:p>
            <w:pPr>
              <w:spacing w:before="80" w:after="80"/>
            </w:pPr>
            <w:r>
              <w:rPr>
                <w:b w:val="0"/>
                <w:sz w:val="18"/>
              </w:rPr>
              <w:t>2</w:t>
            </w:r>
          </w:p>
        </w:tc>
        <w:tc>
          <w:tcPr>
            <w:tcW w:type="dxa" w:w="9360"/>
            <w:tcBorders>
              <w:top w:val="single" w:sz="4" w:color="D9D9D9"/>
              <w:bottom w:val="single" w:sz="4" w:color="D9D9D9"/>
              <w:left w:val="single" w:sz="4" w:color="D9D9D9"/>
              <w:right w:val="single" w:sz="4" w:color="D9D9D9"/>
            </w:tcBorders>
            <w:shd w:fill="F5F5F5"/>
          </w:tcPr>
          <w:p>
            <w:pPr>
              <w:spacing w:before="80" w:after="80"/>
            </w:pPr>
            <w:r>
              <w:rPr>
                <w:b w:val="0"/>
                <w:sz w:val="18"/>
              </w:rPr>
              <w:t>Are skills distinguished from interests, values, and preferences?</w:t>
            </w:r>
          </w:p>
        </w:tc>
      </w:tr>
      <w:tr>
        <w:trPr>
          <w:cantSplit/>
        </w:trPr>
        <w:tc>
          <w:tcPr>
            <w:tcW w:type="dxa" w:w="864"/>
            <w:tcBorders>
              <w:top w:val="single" w:sz="4" w:color="D9D9D9"/>
              <w:bottom w:val="single" w:sz="4" w:color="D9D9D9"/>
              <w:left w:val="single" w:sz="4" w:color="D9D9D9"/>
              <w:right w:val="single" w:sz="4" w:color="D9D9D9"/>
            </w:tcBorders>
            <w:shd w:fill="FFFFFF"/>
          </w:tcPr>
          <w:p>
            <w:pPr>
              <w:spacing w:before="80" w:after="80"/>
            </w:pPr>
            <w:r>
              <w:rPr>
                <w:b w:val="0"/>
                <w:sz w:val="18"/>
              </w:rPr>
              <w:t>3</w:t>
            </w:r>
          </w:p>
        </w:tc>
        <w:tc>
          <w:tcPr>
            <w:tcW w:type="dxa" w:w="9360"/>
            <w:tcBorders>
              <w:top w:val="single" w:sz="4" w:color="D9D9D9"/>
              <w:bottom w:val="single" w:sz="4" w:color="D9D9D9"/>
              <w:left w:val="single" w:sz="4" w:color="D9D9D9"/>
              <w:right w:val="single" w:sz="4" w:color="D9D9D9"/>
            </w:tcBorders>
            <w:shd w:fill="FFFFFF"/>
          </w:tcPr>
          <w:p>
            <w:pPr>
              <w:spacing w:before="80" w:after="80"/>
            </w:pPr>
            <w:r>
              <w:rPr>
                <w:b w:val="0"/>
                <w:sz w:val="18"/>
              </w:rPr>
              <w:t>Does the student consider another explanation and avoid a fixed career verdict?</w:t>
            </w:r>
          </w:p>
        </w:tc>
      </w:tr>
      <w:tr>
        <w:trPr>
          <w:cantSplit/>
        </w:trPr>
        <w:tc>
          <w:tcPr>
            <w:tcW w:type="dxa" w:w="864"/>
            <w:tcBorders>
              <w:top w:val="single" w:sz="4" w:color="D9D9D9"/>
              <w:bottom w:val="single" w:sz="4" w:color="D9D9D9"/>
              <w:left w:val="single" w:sz="4" w:color="D9D9D9"/>
              <w:right w:val="single" w:sz="4" w:color="D9D9D9"/>
            </w:tcBorders>
            <w:shd w:fill="F5F5F5"/>
          </w:tcPr>
          <w:p>
            <w:pPr>
              <w:spacing w:before="80" w:after="80"/>
            </w:pPr>
            <w:r>
              <w:rPr>
                <w:b w:val="0"/>
                <w:sz w:val="18"/>
              </w:rPr>
              <w:t>4</w:t>
            </w:r>
          </w:p>
        </w:tc>
        <w:tc>
          <w:tcPr>
            <w:tcW w:type="dxa" w:w="9360"/>
            <w:tcBorders>
              <w:top w:val="single" w:sz="4" w:color="D9D9D9"/>
              <w:bottom w:val="single" w:sz="4" w:color="D9D9D9"/>
              <w:left w:val="single" w:sz="4" w:color="D9D9D9"/>
              <w:right w:val="single" w:sz="4" w:color="D9D9D9"/>
            </w:tcBorders>
            <w:shd w:fill="F5F5F5"/>
          </w:tcPr>
          <w:p>
            <w:pPr>
              <w:spacing w:before="80" w:after="80"/>
            </w:pPr>
            <w:r>
              <w:rPr>
                <w:b w:val="0"/>
                <w:sz w:val="18"/>
              </w:rPr>
              <w:t>Is the next experiment feasible, with a date to revisit learning?</w:t>
            </w:r>
          </w:p>
        </w:tc>
      </w:tr>
    </w:tbl>
    <w:p>
      <w:pPr>
        <w:spacing w:after="100"/>
      </w:pPr>
      <w:r>
        <w:t>Feedback sentence: “The detail ___ helped because ___. I still need to understand ___. Try changing ___.”</w:t>
      </w:r>
    </w:p>
    <w:p>
      <w:pPr>
        <w:pStyle w:val="Heading2"/>
      </w:pPr>
      <w:r>
        <w:t>50 to 58 minutes Closing challenge</w:t>
      </w:r>
    </w:p>
    <w:p>
      <w:pPr>
        <w:spacing w:after="100"/>
      </w:pPr>
      <w:r>
        <w:t>Use four quiz questions from the instructor key: allow about 30 seconds to choose and 30 seconds to explain each answer, four minutes total. Then use four minutes for an adaptation challenge: two minutes to write a change and two minutes to compare with a partner.</w:t>
      </w:r>
    </w:p>
    <w:p>
      <w:pPr>
        <w:keepNext/>
        <w:spacing w:after="20" w:before="100"/>
      </w:pPr>
      <w:r>
        <w:rPr>
          <w:b/>
          <w:sz w:val="19"/>
        </w:rPr>
        <w:t>Adaptation prompt:</w:t>
      </w:r>
    </w:p>
    <w:p>
      <w:pPr>
        <w:keepLines/>
        <w:spacing w:after="100"/>
        <w:ind w:left="216"/>
      </w:pPr>
      <w:r>
        <w:t>“New experience gives you information that challenges your first interpretation. What would you revisit and how would you learn more?”</w:t>
      </w:r>
    </w:p>
    <w:p>
      <w:pPr>
        <w:pStyle w:val="Heading2"/>
      </w:pPr>
      <w:r>
        <w:t>58 to 60 minutes Exit commitment</w:t>
      </w:r>
    </w:p>
    <w:p>
      <w:pPr>
        <w:spacing w:after="100"/>
      </w:pPr>
      <w:r>
        <w:t>Collect the revised planner, one change made after feedback, and a specific next step with a date. Ask students to name a resource or person they will consult. Close with: “Use what you learned today, check what you still do not know, and revisit the plan after you act.”</w:t>
      </w:r>
    </w:p>
    <w:p>
      <w:pPr>
        <w:pStyle w:val="Heading1"/>
        <w:pageBreakBefore/>
      </w:pPr>
      <w:r>
        <w:t>Student planner</w:t>
      </w:r>
    </w:p>
    <w:p>
      <w:pPr>
        <w:spacing w:after="100"/>
      </w:pPr>
      <w:r>
        <w:t>Understand Yourself and Identify Possibilities</w:t>
      </w:r>
    </w:p>
    <w:p>
      <w:pPr>
        <w:spacing w:after="100"/>
      </w:pPr>
      <w:r>
        <w:t>Name ______________________________  Date __________________</w:t>
      </w:r>
    </w:p>
    <w:p>
      <w:pPr>
        <w:spacing w:after="100"/>
      </w:pPr>
      <w:r>
        <w:t>Use your own situation or the fictional case. You may anonymize details. Use a separate document if you need more room.</w:t>
      </w:r>
    </w:p>
    <w:p>
      <w:pPr>
        <w:pStyle w:val="Heading2"/>
      </w:pPr>
      <w:r>
        <w:t>1  Planning prompt</w:t>
      </w:r>
    </w:p>
    <w:p>
      <w:pPr>
        <w:spacing w:after="100"/>
      </w:pPr>
      <w:r>
        <w:t>Describe two moments and your personal actions. What feedback or outcome supports each?</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2  Planning prompt</w:t>
      </w:r>
    </w:p>
    <w:p>
      <w:pPr>
        <w:spacing w:after="100"/>
      </w:pPr>
      <w:r>
        <w:t>Name possible interests, strengths, skills, values, motivations, and preferences. Distinguish evidence from your interpretation.</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3  Planning prompt</w:t>
      </w:r>
    </w:p>
    <w:p>
      <w:pPr>
        <w:spacing w:after="100"/>
      </w:pPr>
      <w:r>
        <w:t>Identify one transferable skill and a second setting where it could be useful.</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4  Planning prompt</w:t>
      </w:r>
    </w:p>
    <w:p>
      <w:pPr>
        <w:spacing w:after="100"/>
      </w:pPr>
      <w:r>
        <w:t>How do identity, community, academic interests, or circumstances influence your interpretation? Share only what you choose.</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5  Planning prompt</w:t>
      </w:r>
    </w:p>
    <w:p>
      <w:pPr>
        <w:spacing w:after="100"/>
      </w:pPr>
      <w:r>
        <w:t>Name two possible directions, one uncertainty, and an experiment to learn more. Set a date to revisit your interpretation.</w:t>
      </w:r>
    </w:p>
    <w:p>
      <w:pPr>
        <w:spacing w:after="100"/>
      </w:pPr>
      <w:r>
        <w:t>________________________________________________________________________________</w:t>
      </w:r>
    </w:p>
    <w:p>
      <w:pPr>
        <w:spacing w:after="100"/>
      </w:pPr>
      <w:r>
        <w:t>________________________________________________________________________________</w:t>
      </w:r>
    </w:p>
    <w:p>
      <w:pPr>
        <w:spacing w:after="100"/>
      </w:pPr>
      <w:r>
        <w:t>After feedback, the change I made was _______________________________________</w:t>
      </w:r>
    </w:p>
    <w:p>
      <w:pPr>
        <w:spacing w:after="100"/>
      </w:pPr>
      <w:r>
        <w:t>My next action and date __________________________________________________</w:t>
      </w:r>
    </w:p>
    <w:p>
      <w:pPr>
        <w:pStyle w:val="Heading1"/>
        <w:pageBreakBefore/>
      </w:pPr>
      <w:r>
        <w:t>Closing quiz instructor key</w:t>
      </w:r>
    </w:p>
    <w:p>
      <w:pPr>
        <w:spacing w:after="100"/>
      </w:pPr>
      <w:r>
        <w:t>Use these questions in Kahoot or read them aloud with A/B/C/D responses. The correct answers and explanations are for the facilitator. No live Kahoot game is included.</w:t>
      </w:r>
    </w:p>
    <w:p>
      <w:pPr>
        <w:spacing w:after="100"/>
      </w:pPr>
      <w:r>
        <w:rPr>
          <w:b/>
        </w:rPr>
        <w:t>1  A tool suggests a career. What is the strongest next step?</w:t>
      </w:r>
    </w:p>
    <w:p>
      <w:pPr>
        <w:spacing w:after="20"/>
        <w:ind w:left="216"/>
      </w:pPr>
      <w:r>
        <w:t>A  Treat it as a career assignment</w:t>
      </w:r>
    </w:p>
    <w:p>
      <w:pPr>
        <w:spacing w:after="20"/>
        <w:ind w:left="216"/>
      </w:pPr>
      <w:r>
        <w:t>B  Ignore all results</w:t>
      </w:r>
    </w:p>
    <w:p>
      <w:pPr>
        <w:spacing w:after="20"/>
        <w:ind w:left="216"/>
      </w:pPr>
      <w:r>
        <w:t>C  Compare it with experiences and investigate possibilities</w:t>
      </w:r>
    </w:p>
    <w:p>
      <w:pPr>
        <w:spacing w:after="20"/>
        <w:ind w:left="216"/>
      </w:pPr>
      <w:r>
        <w:t>D  Choose the highest salary only</w:t>
      </w:r>
    </w:p>
    <w:p>
      <w:pPr>
        <w:spacing w:after="100"/>
      </w:pPr>
      <w:r>
        <w:rPr>
          <w:b/>
        </w:rPr>
        <w:t>Correct answer  C — A result is a starting hypothesis to explore.</w:t>
      </w:r>
    </w:p>
    <w:p>
      <w:pPr>
        <w:spacing w:after="100"/>
      </w:pPr>
      <w:r>
        <w:rPr>
          <w:b/>
        </w:rPr>
        <w:t>2  Which is a transferable skill?</w:t>
      </w:r>
    </w:p>
    <w:p>
      <w:pPr>
        <w:spacing w:after="20"/>
        <w:ind w:left="216"/>
      </w:pPr>
      <w:r>
        <w:t>A  Listening carefully and clarifying a question</w:t>
      </w:r>
    </w:p>
    <w:p>
      <w:pPr>
        <w:spacing w:after="20"/>
        <w:ind w:left="216"/>
      </w:pPr>
      <w:r>
        <w:t>B  Membership in a club</w:t>
      </w:r>
    </w:p>
    <w:p>
      <w:pPr>
        <w:spacing w:after="20"/>
        <w:ind w:left="216"/>
      </w:pPr>
      <w:r>
        <w:t>C  A preferred work location</w:t>
      </w:r>
    </w:p>
    <w:p>
      <w:pPr>
        <w:spacing w:after="20"/>
        <w:ind w:left="216"/>
      </w:pPr>
      <w:r>
        <w:t>D  The title of a course</w:t>
      </w:r>
    </w:p>
    <w:p>
      <w:pPr>
        <w:spacing w:after="100"/>
      </w:pPr>
      <w:r>
        <w:rPr>
          <w:b/>
        </w:rPr>
        <w:t>Correct answer  A — The action can be used in different settings.</w:t>
      </w:r>
    </w:p>
    <w:p>
      <w:pPr>
        <w:spacing w:after="100"/>
      </w:pPr>
      <w:r>
        <w:rPr>
          <w:b/>
        </w:rPr>
        <w:t>3  What strengthens an interpretation?</w:t>
      </w:r>
    </w:p>
    <w:p>
      <w:pPr>
        <w:spacing w:after="20"/>
        <w:ind w:left="216"/>
      </w:pPr>
      <w:r>
        <w:t>A  One label without examples</w:t>
      </w:r>
    </w:p>
    <w:p>
      <w:pPr>
        <w:spacing w:after="20"/>
        <w:ind w:left="216"/>
      </w:pPr>
      <w:r>
        <w:t>B  Several experiences and feedback, with alternative explanations</w:t>
      </w:r>
    </w:p>
    <w:p>
      <w:pPr>
        <w:spacing w:after="20"/>
        <w:ind w:left="216"/>
      </w:pPr>
      <w:r>
        <w:t>C  A friend choosing your career</w:t>
      </w:r>
    </w:p>
    <w:p>
      <w:pPr>
        <w:spacing w:after="20"/>
        <w:ind w:left="216"/>
      </w:pPr>
      <w:r>
        <w:t>D  Avoiding uncertainty</w:t>
      </w:r>
    </w:p>
    <w:p>
      <w:pPr>
        <w:spacing w:after="100"/>
      </w:pPr>
      <w:r>
        <w:rPr>
          <w:b/>
        </w:rPr>
        <w:t>Correct answer  B — Patterns need evidence and room for revision.</w:t>
      </w:r>
    </w:p>
    <w:p>
      <w:pPr>
        <w:spacing w:after="100"/>
      </w:pPr>
      <w:r>
        <w:rPr>
          <w:b/>
        </w:rPr>
        <w:t>4  What should the closing plan include?</w:t>
      </w:r>
    </w:p>
    <w:p>
      <w:pPr>
        <w:spacing w:after="20"/>
        <w:ind w:left="216"/>
      </w:pPr>
      <w:r>
        <w:t>A  A promise never to change direction</w:t>
      </w:r>
    </w:p>
    <w:p>
      <w:pPr>
        <w:spacing w:after="20"/>
        <w:ind w:left="216"/>
      </w:pPr>
      <w:r>
        <w:t>B  A completed lifetime career plan</w:t>
      </w:r>
    </w:p>
    <w:p>
      <w:pPr>
        <w:spacing w:after="20"/>
        <w:ind w:left="216"/>
      </w:pPr>
      <w:r>
        <w:t>C  Only an assessment score</w:t>
      </w:r>
    </w:p>
    <w:p>
      <w:pPr>
        <w:spacing w:after="20"/>
        <w:ind w:left="216"/>
      </w:pPr>
      <w:r>
        <w:t>D  A small experiment and a date to revisit learning</w:t>
      </w:r>
    </w:p>
    <w:p>
      <w:pPr>
        <w:spacing w:after="100"/>
      </w:pPr>
      <w:r>
        <w:rPr>
          <w:b/>
        </w:rPr>
        <w:t>Correct answer  D — The plan supports continued exploration and growth.</w:t>
      </w:r>
    </w:p>
    <w:p>
      <w:pPr>
        <w:pStyle w:val="Heading1"/>
        <w:pageBreakBefore/>
      </w:pPr>
      <w:r>
        <w:t>Assess learning and connect resources</w:t>
      </w:r>
    </w:p>
    <w:p>
      <w:pPr>
        <w:pStyle w:val="Heading2"/>
      </w:pPr>
      <w:r>
        <w:t>What to collect and how to review it</w:t>
      </w:r>
    </w:p>
    <w:p>
      <w:pPr>
        <w:spacing w:after="100"/>
      </w:pPr>
      <w:r>
        <w:t>Use the feedback checklist to assess the revised product. Look for specific evidence, an explained choice, a response to feedback, and a feasible next action. Ask a follow-up when an element is missing. Do not score disclosure, confidence, accent, social connections, or access to a prestigious experience.</w:t>
      </w:r>
    </w:p>
    <w:p>
      <w:pPr>
        <w:pStyle w:val="Heading2"/>
      </w:pPr>
      <w:r>
        <w:t>Taskforce coverage</w:t>
      </w:r>
    </w:p>
    <w:p>
      <w:pPr>
        <w:pStyle w:val="ListBullet"/>
      </w:pPr>
      <w:r>
        <w:t>Assess personal characteristics through two structured experience inventories.</w:t>
      </w:r>
    </w:p>
    <w:p>
      <w:pPr>
        <w:pStyle w:val="ListBullet"/>
      </w:pPr>
      <w:r>
        <w:t>Identify transferable skills with examples across settings.</w:t>
      </w:r>
    </w:p>
    <w:p>
      <w:pPr>
        <w:pStyle w:val="ListBullet"/>
      </w:pPr>
      <w:r>
        <w:t>Guide interpretation through the case, alternative explanations, and peer questions.</w:t>
      </w:r>
    </w:p>
    <w:p>
      <w:pPr>
        <w:pStyle w:val="ListBullet"/>
      </w:pPr>
      <w:r>
        <w:t>Reflect on identity and academic or career direction in the worksheet.</w:t>
      </w:r>
    </w:p>
    <w:p>
      <w:pPr>
        <w:pStyle w:val="ListBullet"/>
      </w:pPr>
      <w:r>
        <w:t>Treat development as ongoing through an experiment and a review date.</w:t>
      </w:r>
    </w:p>
    <w:p>
      <w:pPr>
        <w:pStyle w:val="Heading2"/>
      </w:pPr>
      <w:r>
        <w:t>Access and virtual delivery</w:t>
      </w:r>
    </w:p>
    <w:p>
      <w:pPr>
        <w:spacing w:after="100"/>
      </w:pPr>
      <w:r>
        <w:t>Share prompts ahead of time when useful. Allow private writing, chat, typed feedback, or a one-to-one exchange instead of public speaking. Use the fictional case when students lack a current opportunity. Provide accessible copies of any source excerpts. Keep paired practice and revision, with an equivalent accessible format where needed.</w:t>
      </w:r>
    </w:p>
    <w:p>
      <w:pPr>
        <w:pStyle w:val="Heading2"/>
      </w:pPr>
      <w:r>
        <w:t>Resources and follow through</w:t>
      </w:r>
    </w:p>
    <w:p>
      <w:pPr>
        <w:spacing w:after="100"/>
      </w:pPr>
      <w:r>
        <w:t>After class, ask students to take their dated step and briefly report what they learned. Use the following resources as starting points; tools, dates, and eligibility should be checked before each delivery. Program and employer instructions control actual requirements.</w:t>
      </w:r>
    </w:p>
    <w:p>
      <w:pPr>
        <w:spacing w:after="100"/>
      </w:pPr>
      <w:r>
        <w:t>CES self-discovery resources: https://careers.rutgers.edu/discover-yourself</w:t>
      </w:r>
    </w:p>
    <w:p>
      <w:pPr>
        <w:spacing w:after="100"/>
      </w:pPr>
      <w:r>
        <w:t>CES Online Tools including Traitify: https://careers.rutgers.edu/students-and-alumni/onlinetools</w:t>
      </w:r>
    </w:p>
    <w:p>
      <w:pPr>
        <w:spacing w:after="100"/>
      </w:pPr>
      <w:r>
        <w:t>CES advising: https://careers.rutgers.edu/students-and-alumni</w:t>
      </w:r>
    </w:p>
    <w:p>
      <w:pPr>
        <w:spacing w:after="100"/>
      </w:pPr>
      <w:r>
        <w:t>Framework reference: Building a Career-Ready Campus taskforce criteria supplied by the user. CES Career Journey descriptions reflect the user’s explanation. Resources checked November 1, 2026. Activities and examples are teaching adaptations.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7"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 Yourself and Identify Possibilities</dc:title>
  <dc:subject/>
  <dc:creator>Career Exploration and Success</dc:creator>
  <cp:keywords/>
  <dc:description>generated by python-docx</dc:description>
  <cp:lastModifiedBy/>
  <cp:revision>1</cp:revision>
  <dcterms:created xsi:type="dcterms:W3CDTF">2013-12-23T23:15:00Z</dcterms:created>
  <dcterms:modified xsi:type="dcterms:W3CDTF">2013-12-23T23:15:00Z</dcterms:modified>
  <cp:category/>
</cp:coreProperties>
</file>