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Readiness Through Study Abroad</w:t>
      </w:r>
    </w:p>
    <w:p>
      <w:pPr>
        <w:spacing w:after="100"/>
      </w:pPr>
      <w:r>
        <w:t>60-minute lesson plan and facilitator teaching guide</w:t>
      </w:r>
    </w:p>
    <w:p>
      <w:pPr>
        <w:spacing w:after="100"/>
      </w:pPr>
      <w:r>
        <w:t>Students reflect on a study abroad experience, connect their own actions to one or more NACE career readiness competencies, and practice explaining that evidence to an employer or graduate-school representative. They leave with a revised spoken example and a specific growth action.</w:t>
      </w:r>
    </w:p>
    <w:p>
      <w:pPr>
        <w:pStyle w:val="Heading2"/>
      </w:pPr>
      <w:r>
        <w:t>How to use this guide</w:t>
      </w:r>
    </w:p>
    <w:p>
      <w:pPr>
        <w:spacing w:after="100"/>
      </w:pPr>
      <w:r>
        <w:t>Read the teaching background and all suggested wording before the session. The preparation reading is outside the 60-minute student session. You may use the suggested language verbatim or adapt it after you understand the concept. Handouts and answer keys are included; slides are not needed to facilitate this version.</w:t>
      </w:r>
    </w:p>
    <w:p>
      <w:pPr>
        <w:pStyle w:val="Heading2"/>
      </w:pPr>
      <w:r>
        <w:t>Audience and learning objectives</w:t>
      </w:r>
    </w:p>
    <w:p>
      <w:pPr>
        <w:spacing w:after="100"/>
      </w:pPr>
      <w:r>
        <w:t>Students reflecting on a study abroad experience; suitable during or after the experience.</w:t>
      </w:r>
    </w:p>
    <w:p>
      <w:pPr>
        <w:pStyle w:val="ListBullet"/>
      </w:pPr>
      <w:r>
        <w:t>Reflect on a specific experience by distinguishing personal actions, outcomes, and learning.</w:t>
      </w:r>
    </w:p>
    <w:p>
      <w:pPr>
        <w:pStyle w:val="ListBullet"/>
      </w:pPr>
      <w:r>
        <w:t>Connect at least two actions to one or more NACE competencies and explain the evidence.</w:t>
      </w:r>
    </w:p>
    <w:p>
      <w:pPr>
        <w:pStyle w:val="ListBullet"/>
      </w:pPr>
      <w:r>
        <w:t>Deliver and revise a 60–90 second example for an employer or graduate-school representative using peer feedback.</w:t>
      </w:r>
    </w:p>
    <w:p>
      <w:pPr>
        <w:pStyle w:val="Heading2"/>
      </w:pPr>
      <w:r>
        <w:t>Session schedule</w:t>
      </w:r>
    </w:p>
    <w:tbl>
      <w:tblPr>
        <w:tblW w:type="auto" w:w="0"/>
        <w:tblLayout w:type="fixed"/>
        <w:tblLook w:firstColumn="1" w:firstRow="1" w:lastColumn="0" w:lastRow="0" w:noHBand="0" w:noVBand="1" w:val="04A0"/>
      </w:tblPr>
      <w:tblGrid>
        <w:gridCol w:w="936"/>
        <w:gridCol w:w="2160"/>
        <w:gridCol w:w="7128"/>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7128"/>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Opening action</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Recall an experience and write an action that mattered.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Competency framework</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Review the eight competencies and distinguish labels from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Shared case and model</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Identify actions, connections, and what an audience would need to understand.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Individual reflection</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Describe the experience, analyze actions, and explain competency connections.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32–46</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Articulation practice</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Draft, speak, receive feedback, and deliver a revised example.</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46–56</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Closing quiz</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Respond to eight questions and explain key distinctions.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56–60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evidence statement and a growth action.</w:t>
            </w:r>
          </w:p>
        </w:tc>
      </w:tr>
    </w:tbl>
    <w:p>
      <w:pPr>
        <w:pStyle w:val="Heading2"/>
      </w:pPr>
      <w:r>
        <w:t>What you will collect</w:t>
      </w:r>
    </w:p>
    <w:p>
      <w:pPr>
        <w:spacing w:after="100"/>
      </w:pPr>
      <w:r>
        <w:t>A completed experience reflection, a revised 60–90 second explanation or equivalent written response, and one growth action. The eight-question closing quiz checks understanding; it is not a measure of overall competency proficiency.</w:t>
      </w:r>
    </w:p>
    <w:p>
      <w:pPr>
        <w:pStyle w:val="Heading1"/>
        <w:pageBreakBefore/>
      </w:pPr>
      <w:r>
        <w:t>Background for a first time facilitator</w:t>
      </w:r>
    </w:p>
    <w:p>
      <w:pPr>
        <w:pStyle w:val="Heading2"/>
      </w:pPr>
      <w:r>
        <w:t>What you are teaching</w:t>
      </w:r>
    </w:p>
    <w:p>
      <w:pPr>
        <w:spacing w:after="100"/>
      </w:pPr>
      <w:r>
        <w:t>NACE stands for the National Association of Colleges and Employers. Its career readiness competencies give students and educators a shared vocabulary for skills that can develop through learning and experience. CES connects academic and co-curricular learning with students’ future contributions. This lesson helps students recognize learning already occurring in their experience and practice explaining it.</w:t>
      </w:r>
    </w:p>
    <w:p>
      <w:pPr>
        <w:pStyle w:val="Heading2"/>
      </w:pPr>
      <w:r>
        <w:t>Terms you need before teaching</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Plain language explanation</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An area of skill demonstrated through behavior. A label such as Communication needs an example of what someone actually did.</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Transferable skill</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skill you can apply in more than one setting. Checking understanding in a class team may also help in a workplace or graduate seminar.</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Technical or disciplinary skill</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Knowledge or a method specific to a field or task, such as a laboratory procedure or a language. It can accompany broader competencies; it is not replaced by them.</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Reflection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Looking back at what happened, examining your actions and assumptions, and deciding what you learned or would change. It goes beyond listing tasks.</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Behavioral evidence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specific action and supporting detail: an observation, artifact, feedback, revision, or outcome. A title or attendance alone does not show the behavior.</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Articulation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Explaining the connection in words another person can understand. The listener needs context, your action, what happened or what you learned, and why it matters to them.</w:t>
            </w:r>
          </w:p>
        </w:tc>
      </w:tr>
    </w:tbl>
    <w:p>
      <w:pPr>
        <w:pStyle w:val="Heading2"/>
      </w:pPr>
      <w:r>
        <w:t>A simple example you can teach</w:t>
      </w:r>
    </w:p>
    <w:p>
      <w:pPr>
        <w:spacing w:after="100"/>
      </w:pPr>
      <w:r>
        <w:t>“I am good at teamwork” is a claim. “I negotiated roles when two teammates had overlapping tasks, checked the revised plan with them, and completed my part” gives behavioral evidence. Ask what happened next to strengthen it further. Do not tell students they need an award, publication, or numerical improvement for their experience to count.</w:t>
      </w:r>
    </w:p>
    <w:p>
      <w:pPr>
        <w:pStyle w:val="Heading2"/>
      </w:pPr>
      <w:r>
        <w:t>Terminology for this lesson</w:t>
      </w:r>
    </w:p>
    <w:p>
      <w:pPr>
        <w:spacing w:after="100"/>
      </w:pPr>
      <w:r>
        <w:t>Teach Equity &amp; Inclusion as the NACE competency name, as requested for these materials. CES’s Becoming Career Ready article currently uses Fairness &amp; Collaborative Learning, while Roadmap &amp; Frameworks uses Equity &amp; Inclusion. These pages use different labels; do not describe the CES alternative as NACE’s official name. NACE currently marks Equity &amp; Inclusion as under review. The examples in this guide are teaching paraphrases, not verbatim definitions.</w:t>
      </w:r>
    </w:p>
    <w:p>
      <w:pPr>
        <w:pStyle w:val="Heading1"/>
        <w:pageBreakBefore/>
      </w:pPr>
      <w:r>
        <w:t>Teaching the eight competencies</w:t>
      </w:r>
    </w:p>
    <w:p>
      <w:pPr>
        <w:spacing w:after="100"/>
      </w:pPr>
      <w:r>
        <w:t>Use the explanations below during minutes 5–12. Read the meaning in your own words and give a short example. The examples are illustrative possibilities in this experience type; they are not claims that every student or the shared case demonstrates all eight.</w:t>
      </w:r>
    </w:p>
    <w:tbl>
      <w:tblPr>
        <w:tblW w:type="auto" w:w="0"/>
        <w:tblLayout w:type="fixed"/>
        <w:tblLook w:firstColumn="1" w:firstRow="1" w:lastColumn="0" w:lastRow="0" w:noHBand="0" w:noVBand="1" w:val="04A0"/>
      </w:tblPr>
      <w:tblGrid>
        <w:gridCol w:w="2088"/>
        <w:gridCol w:w="3816"/>
        <w:gridCol w:w="4320"/>
      </w:tblGrid>
      <w:tr>
        <w:trPr>
          <w:cantSplit/>
          <w:tblHeader/>
        </w:trPr>
        <w:tc>
          <w:tcPr>
            <w:tcW w:type="dxa" w:w="2088"/>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3816"/>
            <w:tcBorders>
              <w:top w:val="single" w:sz="4" w:color="D9D9D9"/>
              <w:bottom w:val="single" w:sz="4" w:color="D9D9D9"/>
              <w:left w:val="single" w:sz="4" w:color="D9D9D9"/>
              <w:right w:val="single" w:sz="4" w:color="D9D9D9"/>
            </w:tcBorders>
            <w:shd w:fill="E6EBEE"/>
          </w:tcPr>
          <w:p>
            <w:pPr>
              <w:spacing w:before="80" w:after="80"/>
            </w:pPr>
            <w:r>
              <w:rPr>
                <w:b/>
                <w:sz w:val="18"/>
              </w:rPr>
              <w:t>Meaning to explain</w:t>
            </w:r>
          </w:p>
        </w:tc>
        <w:tc>
          <w:tcPr>
            <w:tcW w:type="dxa" w:w="4320"/>
            <w:tcBorders>
              <w:top w:val="single" w:sz="4" w:color="D9D9D9"/>
              <w:bottom w:val="single" w:sz="4" w:color="D9D9D9"/>
              <w:left w:val="single" w:sz="4" w:color="D9D9D9"/>
              <w:right w:val="single" w:sz="4" w:color="D9D9D9"/>
            </w:tcBorders>
            <w:shd w:fill="E6EBEE"/>
          </w:tcPr>
          <w:p>
            <w:pPr>
              <w:spacing w:before="80" w:after="80"/>
            </w:pPr>
            <w:r>
              <w:rPr>
                <w:b/>
                <w:sz w:val="18"/>
              </w:rPr>
              <w:t>Example in this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Direct your learning and career growth through self-awareness, feedback, goals, and relationships.</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Identify a learning goal and seek feedback on how you work with others.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Exchange ideas clearly, listen actively, ask questions, and adapt to the audience.</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Ask about working preferences and check understanding across differences.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Understand context, examine information and assumptions, and explain a reasoned response.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Consider more than one explanation before interpreting an unfamiliar situation.</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Include varied perspectives and challenge exclusion, inequity, bias, and systemic barriers.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Question your assumptions and make room for different perspectives.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Mobilize personal and collective strengths toward a shared purpose.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Help a group establish a shared goal and working arrangements.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Show integrity, preparedness, accountability, and dependable work suited to the setting.</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Honor commitments and follow the expectations of the learning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Sustain collaboration through shared responsibility, listening, compromise, and constructive conflict management.</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Negotiate shared responsibilities and adjust after feedback.</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Select, learn, and use technology ethically to improve work and decisions.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Choose communication tools that support participation and respect privacy.</w:t>
            </w:r>
          </w:p>
        </w:tc>
      </w:tr>
    </w:tbl>
    <w:p>
      <w:pPr>
        <w:pStyle w:val="Heading2"/>
      </w:pPr>
      <w:r>
        <w:t>Two distinctions to explain</w:t>
      </w:r>
    </w:p>
    <w:p>
      <w:pPr>
        <w:spacing w:after="100"/>
      </w:pPr>
      <w:r>
        <w:t>Leadership helps shape the direction and conditions of shared work; Teamwork describes contributing and collaborating within it. One action may support both if the explanation is convincing. Technology means using tools thoughtfully and responsibly, not simply owning a device or naming software.</w:t>
      </w:r>
    </w:p>
    <w:p>
      <w:pPr>
        <w:pStyle w:val="Heading2"/>
      </w:pPr>
      <w:r>
        <w:t>What to say about academic learning</w:t>
      </w:r>
    </w:p>
    <w:p>
      <w:pPr>
        <w:spacing w:after="100"/>
      </w:pPr>
      <w:r>
        <w:t>“You are not replacing the learning goals of your course or experience with job preparation. You are noticing the thinking, inquiry, collaboration, and other abilities your learning requires, then deciding how to explain those abilities to someone else.”</w:t>
      </w:r>
    </w:p>
    <w:p>
      <w:pPr>
        <w:pStyle w:val="Heading1"/>
        <w:pageBreakBefore/>
      </w:pPr>
      <w:r>
        <w:t>Use NACE behaviors to evaluate evidence</w:t>
      </w:r>
    </w:p>
    <w:p>
      <w:pPr>
        <w:spacing w:after="100"/>
      </w:pPr>
      <w:r>
        <w:t>Read NACE’s official definitions and sample behaviors before teaching: https://www.naceweb.org/career-readiness/competencies/career-readiness-defined. The summaries, examples, and coaching questions here are teaching adaptations. Use the official page as the reference when a connection is uncertain.</w:t>
      </w:r>
    </w:p>
    <w:p>
      <w:pPr>
        <w:pStyle w:val="Heading2"/>
      </w:pPr>
      <w:r>
        <w:t>Questions that move from a label to evidence</w:t>
      </w:r>
    </w:p>
    <w:tbl>
      <w:tblPr>
        <w:tblW w:type="auto" w:w="0"/>
        <w:tblLayout w:type="fixed"/>
        <w:tblLook w:firstColumn="1" w:firstRow="1" w:lastColumn="0" w:lastRow="0" w:noHBand="0" w:noVBand="1" w:val="04A0"/>
      </w:tblPr>
      <w:tblGrid>
        <w:gridCol w:w="2592"/>
        <w:gridCol w:w="7632"/>
      </w:tblGrid>
      <w:tr>
        <w:trPr>
          <w:cantSplit/>
          <w:tblHeader/>
        </w:trPr>
        <w:tc>
          <w:tcPr>
            <w:tcW w:type="dxa" w:w="2592"/>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7632"/>
            <w:tcBorders>
              <w:top w:val="single" w:sz="4" w:color="D9D9D9"/>
              <w:bottom w:val="single" w:sz="4" w:color="D9D9D9"/>
              <w:left w:val="single" w:sz="4" w:color="D9D9D9"/>
              <w:right w:val="single" w:sz="4" w:color="D9D9D9"/>
            </w:tcBorders>
            <w:shd w:fill="E6EBEE"/>
          </w:tcPr>
          <w:p>
            <w:pPr>
              <w:spacing w:before="80" w:after="80"/>
            </w:pPr>
            <w:r>
              <w:rPr>
                <w:b/>
                <w:sz w:val="18"/>
              </w:rPr>
              <w:t>Coaching question</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feedback did you seek and apply? What growth opportunity did you pursue?</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listen, clarify, organize information, or adapt for a listener?</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sources and perspectives did you examine? How did you test assumptions?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Whose perspective or access was missing? What inequity or barrier did you address?</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use strengths, invite input, or organize progress toward a goal?</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prepare, follow through, check details, or take responsibility?</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share work, handle disagreement, or adjust with others?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Why did the tool fit? How did you learn it, check output, and use it responsibly?</w:t>
            </w:r>
          </w:p>
        </w:tc>
      </w:tr>
    </w:tbl>
    <w:p>
      <w:pPr>
        <w:pStyle w:val="Heading2"/>
      </w:pPr>
      <w:r>
        <w:t>How to coach a connection</w:t>
      </w:r>
    </w:p>
    <w:p>
      <w:pPr>
        <w:spacing w:after="100"/>
      </w:pPr>
      <w:r>
        <w:t>Ask the student to name an action, identify the relevant NACE behavior, and explain the connection. Check the match against NACE’s sample behaviors. Ask what outcome, feedback, or artifact supports it. A student can demonstrate more than one competency; choose the clearest evidence rather than requiring all eight. An experience title alone does not demonstrate the behavior.</w:t>
      </w:r>
    </w:p>
    <w:p>
      <w:pPr>
        <w:pStyle w:val="Heading2"/>
      </w:pPr>
      <w:r>
        <w:t>Taskforce alignment for Develop Skills and Competencies</w:t>
      </w:r>
    </w:p>
    <w:p>
      <w:pPr>
        <w:spacing w:after="100"/>
      </w:pPr>
      <w:r>
        <w:t>The experience supplies the setting for skill development. The case and worksheet connect actions and learning to NACE behaviors. Reflection examines decisions and growth. STAR practice turns that evidence into an explanation for work or graduate study. Individual partner feedback and a revised response reinforce growth. This workshop unpacks an experience; it does not replace the experience itself or certify proficiency.</w:t>
      </w:r>
    </w:p>
    <w:p>
      <w:pPr>
        <w:pStyle w:val="Heading1"/>
        <w:pageBreakBefore/>
      </w:pPr>
      <w:r>
        <w:t>Teaching script for the first twelve minutes</w:t>
      </w:r>
    </w:p>
    <w:p>
      <w:pPr>
        <w:pStyle w:val="Heading2"/>
      </w:pPr>
      <w:r>
        <w:t>Opening action from 0 to 5 minutes</w:t>
      </w:r>
    </w:p>
    <w:p>
      <w:pPr>
        <w:keepNext/>
        <w:spacing w:after="20" w:before="100"/>
      </w:pPr>
      <w:r>
        <w:rPr>
          <w:b/>
          <w:sz w:val="19"/>
        </w:rPr>
        <w:t>Facilitator actions:</w:t>
      </w:r>
    </w:p>
    <w:p>
      <w:pPr>
        <w:keepLines/>
        <w:spacing w:after="100"/>
        <w:ind w:left="216"/>
      </w:pPr>
      <w:r>
        <w:t>Begin the activity immediately. Allow one minute for individual thinking and writing, two minutes for partners, and two minutes to collect two or three action verbs on the board. Students can use the fictional case if they prefer.</w:t>
      </w:r>
    </w:p>
    <w:p>
      <w:pPr>
        <w:keepNext/>
        <w:spacing w:after="20" w:before="100"/>
      </w:pPr>
      <w:r>
        <w:rPr>
          <w:b/>
          <w:sz w:val="19"/>
        </w:rPr>
        <w:t>Say to students:</w:t>
      </w:r>
    </w:p>
    <w:p>
      <w:pPr>
        <w:keepLines/>
        <w:spacing w:after="100"/>
        <w:ind w:left="216"/>
      </w:pPr>
      <w:r>
        <w:t>“Recall a moment during study abroad when you had to check an assumption. Write what you noticed and what you did to understand the situation. We will return to that moment today. You do not need an impressive title or a perfect outcome. We are interested in what you did and what you learned.”</w:t>
      </w:r>
    </w:p>
    <w:p>
      <w:pPr>
        <w:keepNext/>
        <w:spacing w:after="20" w:before="100"/>
      </w:pPr>
      <w:r>
        <w:rPr>
          <w:b/>
          <w:sz w:val="19"/>
        </w:rPr>
        <w:t>Ask students:</w:t>
      </w:r>
    </w:p>
    <w:p>
      <w:pPr>
        <w:keepLines/>
        <w:spacing w:after="100"/>
        <w:ind w:left="216"/>
      </w:pPr>
      <w:r>
        <w:t>“What action did you hear your partner describe?”</w:t>
      </w:r>
    </w:p>
    <w:p>
      <w:pPr>
        <w:keepNext/>
        <w:spacing w:after="20" w:before="100"/>
      </w:pPr>
      <w:r>
        <w:rPr>
          <w:b/>
          <w:sz w:val="19"/>
        </w:rPr>
        <w:t>Expected responses:</w:t>
      </w:r>
    </w:p>
    <w:p>
      <w:pPr>
        <w:keepLines/>
        <w:spacing w:after="100"/>
        <w:ind w:left="216"/>
      </w:pPr>
      <w:r>
        <w:t>Concrete verbs such as asked, checked, compared, organized, listened, or revised.</w:t>
      </w:r>
    </w:p>
    <w:p>
      <w:pPr>
        <w:keepNext/>
        <w:spacing w:after="20" w:before="100"/>
      </w:pPr>
      <w:r>
        <w:rPr>
          <w:b/>
          <w:sz w:val="19"/>
        </w:rPr>
        <w:t>If students need support:</w:t>
      </w:r>
    </w:p>
    <w:p>
      <w:pPr>
        <w:keepLines/>
        <w:spacing w:after="100"/>
        <w:ind w:left="216"/>
      </w:pPr>
      <w:r>
        <w:t>If someone says “I learned a lot,” ask “What is one thing you did that helped you learn?” If nobody volunteers, offer “I checked a source before sharing it.”</w:t>
      </w:r>
    </w:p>
    <w:p>
      <w:pPr>
        <w:keepNext/>
        <w:spacing w:after="20" w:before="100"/>
      </w:pPr>
      <w:r>
        <w:rPr>
          <w:b/>
          <w:sz w:val="19"/>
        </w:rPr>
        <w:t>Transition to the next activity:</w:t>
      </w:r>
    </w:p>
    <w:p>
      <w:pPr>
        <w:keepLines/>
        <w:spacing w:after="100"/>
        <w:ind w:left="216"/>
      </w:pPr>
      <w:r>
        <w:t>“Those actions are where we can look for evidence of skills.”</w:t>
      </w:r>
    </w:p>
    <w:p>
      <w:pPr>
        <w:pStyle w:val="Heading2"/>
      </w:pPr>
      <w:r>
        <w:t>Introduce competencies from 5 to 12 minutes</w:t>
      </w:r>
    </w:p>
    <w:p>
      <w:pPr>
        <w:keepNext/>
        <w:spacing w:after="20" w:before="100"/>
      </w:pPr>
      <w:r>
        <w:rPr>
          <w:b/>
          <w:sz w:val="19"/>
        </w:rPr>
        <w:t>Facilitator actions:</w:t>
      </w:r>
    </w:p>
    <w:p>
      <w:pPr>
        <w:keepLines/>
        <w:spacing w:after="100"/>
        <w:ind w:left="216"/>
      </w:pPr>
      <w:r>
        <w:t>Use the eight-competency teaching table. Give pairs two minutes to match an action from their opening to a competency using the table. Use two minutes to name the eight areas briefly and hear two matches, then three minutes testing the distinction between a label and evidence.</w:t>
      </w:r>
    </w:p>
    <w:p>
      <w:pPr>
        <w:keepNext/>
        <w:spacing w:after="20" w:before="100"/>
      </w:pPr>
      <w:r>
        <w:rPr>
          <w:b/>
          <w:sz w:val="19"/>
        </w:rPr>
        <w:t>Say to students:</w:t>
      </w:r>
    </w:p>
    <w:p>
      <w:pPr>
        <w:keepLines/>
        <w:spacing w:after="100"/>
        <w:ind w:left="216"/>
      </w:pPr>
      <w:r>
        <w:t>“NACE is the National Association of Colleges and Employers. Its eight competencies give us language for describing skills. A name alone does not tell us what you can do. Evidence is the action and detail that makes the name credible.”</w:t>
      </w:r>
    </w:p>
    <w:p>
      <w:pPr>
        <w:keepNext/>
        <w:spacing w:after="20" w:before="100"/>
      </w:pPr>
      <w:r>
        <w:rPr>
          <w:b/>
          <w:sz w:val="19"/>
        </w:rPr>
        <w:t>Ask students:</w:t>
      </w:r>
    </w:p>
    <w:p>
      <w:pPr>
        <w:keepLines/>
        <w:spacing w:after="100"/>
        <w:ind w:left="216"/>
      </w:pPr>
      <w:r>
        <w:t>“Which tells us more: ‘I am professional’ or ‘I verified the instructions before advising someone’? Why?”</w:t>
      </w:r>
    </w:p>
    <w:p>
      <w:pPr>
        <w:keepNext/>
        <w:spacing w:after="20" w:before="100"/>
      </w:pPr>
      <w:r>
        <w:rPr>
          <w:b/>
          <w:sz w:val="19"/>
        </w:rPr>
        <w:t>Expected responses:</w:t>
      </w:r>
    </w:p>
    <w:p>
      <w:pPr>
        <w:keepLines/>
        <w:spacing w:after="100"/>
        <w:ind w:left="216"/>
      </w:pPr>
      <w:r>
        <w:t>The second statement describes an observable action and responsible judgment.</w:t>
      </w:r>
    </w:p>
    <w:p>
      <w:pPr>
        <w:keepNext/>
        <w:spacing w:after="20" w:before="100"/>
      </w:pPr>
      <w:r>
        <w:rPr>
          <w:b/>
          <w:sz w:val="19"/>
        </w:rPr>
        <w:t>If students need support:</w:t>
      </w:r>
    </w:p>
    <w:p>
      <w:pPr>
        <w:keepLines/>
        <w:spacing w:after="100"/>
        <w:ind w:left="216"/>
      </w:pPr>
      <w:r>
        <w:t>If students focus only on being formally dressed, explain that Professionalism also includes integrity, dependability, and work habits appropriate to the setting.</w:t>
      </w:r>
    </w:p>
    <w:p>
      <w:pPr>
        <w:keepNext/>
        <w:spacing w:after="20" w:before="100"/>
      </w:pPr>
      <w:r>
        <w:rPr>
          <w:b/>
          <w:sz w:val="19"/>
        </w:rPr>
        <w:t>Transition to the next activity:</w:t>
      </w:r>
    </w:p>
    <w:p>
      <w:pPr>
        <w:keepLines/>
        <w:spacing w:after="100"/>
        <w:ind w:left="216"/>
      </w:pPr>
      <w:r>
        <w:t>“Let us try making a connection with a shared example before you work on your own.”</w:t>
      </w:r>
    </w:p>
    <w:p>
      <w:pPr>
        <w:pStyle w:val="Heading1"/>
        <w:pageBreakBefore/>
      </w:pPr>
      <w:r>
        <w:t>Teach the shared case from 12 to 20 minutes</w:t>
      </w:r>
    </w:p>
    <w:p>
      <w:pPr>
        <w:keepNext/>
        <w:spacing w:after="20" w:before="100"/>
      </w:pPr>
      <w:r>
        <w:rPr>
          <w:b/>
          <w:sz w:val="19"/>
        </w:rPr>
        <w:t>Read aloud:</w:t>
      </w:r>
    </w:p>
    <w:p>
      <w:pPr>
        <w:keepLines/>
        <w:spacing w:after="100"/>
        <w:ind w:left="216"/>
      </w:pPr>
      <w:r>
        <w:t>During a study abroad group project, Lee notices that teammates have different expectations about meeting participation and feedback. Lee asks how the group prefers to work, checks their own assumptions, and helps establish shared agreements. Lee adapts how they invite feedback and later asks teammates whether the approach supports participation. The group revises its working agreement after the discussion.</w:t>
      </w:r>
    </w:p>
    <w:p>
      <w:pPr>
        <w:spacing w:after="100"/>
      </w:pPr>
      <w:r>
        <w:t>Give pairs three minutes to identify two personal actions and propose competency connections. Use three minutes to debrief. Spend the final two minutes introducing the explanation structure: STAR: Situation, Task, Action, and Result. Add a short connection to the chosen audience after the STAR example. Tell students that several labels can fit when supported by evidence. The case is fictional.</w:t>
      </w:r>
    </w:p>
    <w:p>
      <w:pPr>
        <w:keepNext/>
        <w:spacing w:after="20" w:before="100"/>
      </w:pPr>
      <w:r>
        <w:rPr>
          <w:b/>
          <w:sz w:val="19"/>
        </w:rPr>
        <w:t>Make STAR visible:</w:t>
      </w:r>
    </w:p>
    <w:p>
      <w:pPr>
        <w:keepLines/>
        <w:spacing w:after="100"/>
        <w:ind w:left="216"/>
      </w:pPr>
      <w:r>
        <w:t>Situation: identify the setting and challenge in the case. Task: My responsibility was to contribute to our project and help the group agree on how to work together. Action: asked about working preferences, checked personal assumptions, and helped revise shared agreements. Result: the group revised its working agreement and established a way to revisit participation. Ask students to distinguish the surrounding problem from the student’s responsibility. Then ask which actions provide the strongest competency evidence.</w:t>
      </w:r>
    </w:p>
    <w:p>
      <w:pPr>
        <w:keepNext/>
        <w:spacing w:after="20" w:before="100"/>
      </w:pPr>
      <w:r>
        <w:rPr>
          <w:b/>
          <w:sz w:val="19"/>
        </w:rPr>
        <w:t>Debrief guidance:</w:t>
      </w:r>
    </w:p>
    <w:p>
      <w:pPr>
        <w:keepLines/>
        <w:spacing w:after="100"/>
        <w:ind w:left="216"/>
      </w:pPr>
      <w:r>
        <w:t>Communication: asking about expectations and checking understanding. Equity and Inclusion: making room for different perspectives and examining assumptions. Teamwork: agreeing on shared working practices. Travel alone is not evidence of these competencies; avoid broad claims about a country or culture based on one interaction.</w:t>
      </w:r>
    </w:p>
    <w:p>
      <w:pPr>
        <w:keepNext/>
        <w:spacing w:after="20" w:before="100"/>
      </w:pPr>
      <w:r>
        <w:rPr>
          <w:b/>
          <w:sz w:val="19"/>
        </w:rPr>
        <w:t>Follow up:</w:t>
      </w:r>
    </w:p>
    <w:p>
      <w:pPr>
        <w:keepLines/>
        <w:spacing w:after="100"/>
        <w:ind w:left="216"/>
      </w:pPr>
      <w:r>
        <w:t>If students name only a competency, ask “Which words in the case show that behavior?” If they disagree, ask each to explain the connection. Being abroad does not automatically establish intercultural skill; describe actions, learning, and limits.</w:t>
      </w:r>
    </w:p>
    <w:p>
      <w:pPr>
        <w:pStyle w:val="Heading1"/>
        <w:pageBreakBefore/>
      </w:pPr>
      <w:r>
        <w:t>Facilitate individual reflection</w:t>
      </w:r>
    </w:p>
    <w:p>
      <w:pPr>
        <w:pStyle w:val="Heading2"/>
      </w:pPr>
      <w:r>
        <w:t>Individual reflection from 20 to 32 minutes</w:t>
      </w:r>
    </w:p>
    <w:p>
      <w:pPr>
        <w:keepNext/>
        <w:spacing w:after="20" w:before="100"/>
      </w:pPr>
      <w:r>
        <w:rPr>
          <w:b/>
          <w:sz w:val="19"/>
        </w:rPr>
        <w:t>Facilitator actions:</w:t>
      </w:r>
    </w:p>
    <w:p>
      <w:pPr>
        <w:keepLines/>
        <w:spacing w:after="100"/>
        <w:ind w:left="216"/>
      </w:pPr>
      <w:r>
        <w:t>Give students the Student reflection worksheet. Allocate three minutes to context and responsibility, four to personal actions and evidence, three to competency connections, and two to learning and a next step. Circulate without demanding personal disclosure.</w:t>
      </w:r>
    </w:p>
    <w:p>
      <w:pPr>
        <w:keepNext/>
        <w:spacing w:after="20" w:before="100"/>
      </w:pPr>
      <w:r>
        <w:rPr>
          <w:b/>
          <w:sz w:val="19"/>
        </w:rPr>
        <w:t>Say to students:</w:t>
      </w:r>
    </w:p>
    <w:p>
      <w:pPr>
        <w:keepLines/>
        <w:spacing w:after="100"/>
        <w:ind w:left="216"/>
      </w:pPr>
      <w:r>
        <w:t>“Choose one moment rather than summarizing your whole experience. Write what happened and what you personally did. Then explain which competency or competencies those actions show. Finally, examine what you learned and what you want to improve.”</w:t>
      </w:r>
    </w:p>
    <w:p>
      <w:pPr>
        <w:keepNext/>
        <w:spacing w:after="20" w:before="100"/>
      </w:pPr>
      <w:r>
        <w:rPr>
          <w:b/>
          <w:sz w:val="19"/>
        </w:rPr>
        <w:t>Ask students:</w:t>
      </w:r>
    </w:p>
    <w:p>
      <w:pPr>
        <w:keepLines/>
        <w:spacing w:after="100"/>
        <w:ind w:left="216"/>
      </w:pPr>
      <w:r>
        <w:t>“What did you do? What detail supports that? What changed in your understanding?”</w:t>
      </w:r>
    </w:p>
    <w:p>
      <w:pPr>
        <w:keepNext/>
        <w:spacing w:after="20" w:before="100"/>
      </w:pPr>
      <w:r>
        <w:rPr>
          <w:b/>
          <w:sz w:val="19"/>
        </w:rPr>
        <w:t>Expected responses:</w:t>
      </w:r>
    </w:p>
    <w:p>
      <w:pPr>
        <w:keepLines/>
        <w:spacing w:after="100"/>
        <w:ind w:left="216"/>
      </w:pPr>
      <w:r>
        <w:t>Specific personal actions, a plausible connection, and a learning insight. A useful outcome can be a correction, feedback, or a new question.</w:t>
      </w:r>
    </w:p>
    <w:p>
      <w:pPr>
        <w:keepNext/>
        <w:spacing w:after="20" w:before="100"/>
      </w:pPr>
      <w:r>
        <w:rPr>
          <w:b/>
          <w:sz w:val="19"/>
        </w:rPr>
        <w:t>If students need support:</w:t>
      </w:r>
    </w:p>
    <w:p>
      <w:pPr>
        <w:keepLines/>
        <w:spacing w:after="100"/>
        <w:ind w:left="216"/>
      </w:pPr>
      <w:r>
        <w:t>For “We did the project,” ask “What was your contribution?” For a competency list, ask “Which connection has the clearest evidence?” For “Nothing succeeded,” ask “What did you try, notice, or change?”</w:t>
      </w:r>
    </w:p>
    <w:p>
      <w:pPr>
        <w:keepNext/>
        <w:spacing w:after="20" w:before="100"/>
      </w:pPr>
      <w:r>
        <w:rPr>
          <w:b/>
          <w:sz w:val="19"/>
        </w:rPr>
        <w:t>Transition to the next activity:</w:t>
      </w:r>
    </w:p>
    <w:p>
      <w:pPr>
        <w:keepLines/>
        <w:spacing w:after="100"/>
        <w:ind w:left="216"/>
      </w:pPr>
      <w:r>
        <w:t>“You now have evidence. Next we will shape it for a listener who was not there.”</w:t>
      </w:r>
    </w:p>
    <w:p>
      <w:pPr>
        <w:pStyle w:val="Heading1"/>
        <w:pageBreakBefore/>
      </w:pPr>
      <w:r>
        <w:t>Teach STAR and facilitate practice</w:t>
      </w:r>
    </w:p>
    <w:p>
      <w:pPr>
        <w:pStyle w:val="Heading2"/>
      </w:pPr>
      <w:r>
        <w:t>Explain the speaking structure before practice</w:t>
      </w:r>
    </w:p>
    <w:p>
      <w:pPr>
        <w:spacing w:after="100"/>
      </w:pPr>
      <w:r>
        <w:t>Use STAR: Situation describes the setting and challenge; Task identifies your responsibility or goal; Action explains the steps you personally took; Result describes the outcome, supported by honest evidence. Include learning when useful, then connect the example to the listener. Situation is the background; Task is what you were responsible for doing within it. STAR is an organizing tool, not a required format for every graduate-school conversation.</w:t>
      </w:r>
    </w:p>
    <w:p>
      <w:pPr>
        <w:keepNext/>
        <w:spacing w:after="20" w:before="100"/>
      </w:pPr>
      <w:r>
        <w:rPr>
          <w:b/>
          <w:sz w:val="19"/>
        </w:rPr>
        <w:t>Say to students:</w:t>
      </w:r>
    </w:p>
    <w:p>
      <w:pPr>
        <w:keepLines/>
        <w:spacing w:after="100"/>
        <w:ind w:left="216"/>
      </w:pPr>
      <w:r>
        <w:t>“Briefly set the Situation, then state your Task: what were you responsible for? Spend most of your answer on your Action. Give the honest Result and what you learned. After STAR, connect the evidence to a need in the job or to academic work you want to undertake. Use real numbers only when you know them. You do not need to repeat the competency label if the example makes the ability clear.”</w:t>
      </w:r>
    </w:p>
    <w:p>
      <w:pPr>
        <w:keepNext/>
        <w:spacing w:after="20" w:before="100"/>
      </w:pPr>
      <w:r>
        <w:rPr>
          <w:b/>
          <w:sz w:val="19"/>
        </w:rPr>
        <w:t>Model the connection:</w:t>
      </w:r>
    </w:p>
    <w:p>
      <w:pPr>
        <w:keepLines/>
        <w:spacing w:after="100"/>
        <w:ind w:left="216"/>
      </w:pPr>
      <w:r>
        <w:t>“In our case, the personal actions were: asked about working preferences, checked personal assumptions, and helped revise shared agreements. The outcome was: the group revised its working agreement and established a way to revisit participation. Those are the pieces a listener needs. An employer will want to understand how the behavior could help with work; a graduate-school representative will want to understand its connection to academic interests, methods, or readiness.”</w:t>
      </w:r>
    </w:p>
    <w:p>
      <w:pPr>
        <w:pStyle w:val="Heading2"/>
      </w:pPr>
      <w:r>
        <w:t>Practice from 32 to 46 minutes</w:t>
      </w:r>
    </w:p>
    <w:p>
      <w:pPr>
        <w:spacing w:after="100"/>
      </w:pPr>
      <w:r>
        <w:t>32–35: Students choose an employer or graduate-school audience and draft from the Practice explaining the experience handout. Use its model responses to demonstrate a completed answer if needed. 35–38: Partner A speaks for 60–90 seconds; Partner B gives feedback for the remainder. 38–41: Swap. 41–43: Both revise. 43–46: Each delivers a revised answer for about one minute.</w:t>
      </w:r>
    </w:p>
    <w:p>
      <w:pPr>
        <w:keepNext/>
        <w:spacing w:after="20" w:before="100"/>
      </w:pPr>
      <w:r>
        <w:rPr>
          <w:b/>
          <w:sz w:val="19"/>
        </w:rPr>
        <w:t>Instructions for the listener:</w:t>
      </w:r>
    </w:p>
    <w:p>
      <w:pPr>
        <w:keepLines/>
        <w:spacing w:after="100"/>
        <w:ind w:left="216"/>
      </w:pPr>
      <w:r>
        <w:t>“Name one specific action you heard. Point out one connection you understood. Ask for one missing detail or a clearer link to the chosen audience. Avoid general feedback such as ‘good job.’”</w:t>
      </w:r>
    </w:p>
    <w:p>
      <w:pPr>
        <w:keepNext/>
        <w:spacing w:after="20" w:before="100"/>
      </w:pPr>
      <w:r>
        <w:rPr>
          <w:b/>
          <w:sz w:val="19"/>
        </w:rPr>
        <w:t>Check participation and transition:</w:t>
      </w:r>
    </w:p>
    <w:p>
      <w:pPr>
        <w:keepLines/>
        <w:spacing w:after="100"/>
        <w:ind w:left="216"/>
      </w:pPr>
      <w:r>
        <w:t>Watch for practice actually occurring, not only writing. Offer an equivalent private recording, written exchange, or instructor conversation when needed. Say: “You have reflected, connected, explained, and revised. Let us check the ideas behind that process.”</w:t>
      </w:r>
    </w:p>
    <w:p>
      <w:pPr>
        <w:pStyle w:val="Heading1"/>
        <w:pageBreakBefore/>
      </w:pPr>
      <w:r>
        <w:t>Closing script and questions you may hear</w:t>
      </w:r>
    </w:p>
    <w:p>
      <w:pPr>
        <w:pStyle w:val="Heading2"/>
      </w:pPr>
      <w:r>
        <w:t>Reinforcement from 46 to 56 minutes</w:t>
      </w:r>
    </w:p>
    <w:p>
      <w:pPr>
        <w:spacing w:after="100"/>
      </w:pPr>
      <w:r>
        <w:t>Use the eight questions in the Closing quiz instructor key. In Kahoot, enter the four choices and mark the labeled correct answer before class. No live game is supplied. Without technology, read the question and choices, give thinking time, and have everyone show A/B/C/D together. Allow about 25 seconds to answer and 35 seconds to explain each item; reserve two minutes to revisit the most difficult idea.</w:t>
      </w:r>
    </w:p>
    <w:p>
      <w:pPr>
        <w:keepNext/>
        <w:spacing w:after="20" w:before="100"/>
      </w:pPr>
      <w:r>
        <w:rPr>
          <w:b/>
          <w:sz w:val="19"/>
        </w:rPr>
        <w:t>Say to students:</w:t>
      </w:r>
    </w:p>
    <w:p>
      <w:pPr>
        <w:keepLines/>
        <w:spacing w:after="100"/>
        <w:ind w:left="216"/>
      </w:pPr>
      <w:r>
        <w:t>“For the quiz, choose the strongest answer from the options. In real experiences, more than one competency can be supported. After each question, I will explain why the answer is the best fit.”</w:t>
      </w:r>
    </w:p>
    <w:p>
      <w:pPr>
        <w:keepNext/>
        <w:spacing w:after="20" w:before="100"/>
      </w:pPr>
      <w:r>
        <w:rPr>
          <w:b/>
          <w:sz w:val="19"/>
        </w:rPr>
        <w:t>After an incorrect response:</w:t>
      </w:r>
    </w:p>
    <w:p>
      <w:pPr>
        <w:keepLines/>
        <w:spacing w:after="100"/>
        <w:ind w:left="216"/>
      </w:pPr>
      <w:r>
        <w:t>Read the answer explanation in the instructor key. Ask “What detail in the question supports that choice?” Explain the distinction rather than judging the student’s overall ability. If several students miss the same item, use one example from the teaching table before moving on.</w:t>
      </w:r>
    </w:p>
    <w:p>
      <w:pPr>
        <w:pStyle w:val="Heading2"/>
      </w:pPr>
      <w:r>
        <w:t>Exit and close from 56 to 60 minutes</w:t>
      </w:r>
    </w:p>
    <w:p>
      <w:pPr>
        <w:spacing w:after="100"/>
      </w:pPr>
      <w:r>
        <w:t>Give two minutes to submit the revised evidence statement, one change made after feedback, and a growth action with a date or feedback source. Use one minute to invite a voluntary example and one minute to close.</w:t>
      </w:r>
    </w:p>
    <w:p>
      <w:pPr>
        <w:keepNext/>
        <w:spacing w:after="20" w:before="100"/>
      </w:pPr>
      <w:r>
        <w:rPr>
          <w:b/>
          <w:sz w:val="19"/>
        </w:rPr>
        <w:t>Say to students:</w:t>
      </w:r>
    </w:p>
    <w:p>
      <w:pPr>
        <w:keepLines/>
        <w:spacing w:after="100"/>
        <w:ind w:left="216"/>
      </w:pPr>
      <w:r>
        <w:t>“The experience title does not tell your whole story. What you did, how you learned, and how you explain the connection make your skills visible. Keep your revised example and revisit your practice goal. The next time you describe this experience, choose the details that matter to that listener.”</w:t>
      </w:r>
    </w:p>
    <w:p>
      <w:pPr>
        <w:pStyle w:val="Heading2"/>
      </w:pPr>
      <w:r>
        <w:t>Questions and suggested responses</w:t>
      </w:r>
    </w:p>
    <w:tbl>
      <w:tblPr>
        <w:tblW w:type="auto" w:w="0"/>
        <w:tblLayout w:type="fixed"/>
        <w:tblLook w:firstColumn="1" w:firstRow="1" w:lastColumn="0" w:lastRow="0" w:noHBand="0" w:noVBand="1" w:val="04A0"/>
      </w:tblPr>
      <w:tblGrid>
        <w:gridCol w:w="3240"/>
        <w:gridCol w:w="6984"/>
      </w:tblGrid>
      <w:tr>
        <w:trPr>
          <w:cantSplit/>
          <w:tblHeader/>
        </w:trPr>
        <w:tc>
          <w:tcPr>
            <w:tcW w:type="dxa" w:w="3240"/>
            <w:tcBorders>
              <w:top w:val="single" w:sz="4" w:color="D9D9D9"/>
              <w:bottom w:val="single" w:sz="4" w:color="D9D9D9"/>
              <w:left w:val="single" w:sz="4" w:color="D9D9D9"/>
              <w:right w:val="single" w:sz="4" w:color="D9D9D9"/>
            </w:tcBorders>
            <w:shd w:fill="E6EBEE"/>
          </w:tcPr>
          <w:p>
            <w:pPr>
              <w:spacing w:before="80" w:after="80"/>
            </w:pPr>
            <w:r>
              <w:rPr>
                <w:b/>
                <w:sz w:val="18"/>
              </w:rPr>
              <w:t>If a student asks</w:t>
            </w:r>
          </w:p>
        </w:tc>
        <w:tc>
          <w:tcPr>
            <w:tcW w:type="dxa" w:w="6984"/>
            <w:tcBorders>
              <w:top w:val="single" w:sz="4" w:color="D9D9D9"/>
              <w:bottom w:val="single" w:sz="4" w:color="D9D9D9"/>
              <w:left w:val="single" w:sz="4" w:color="D9D9D9"/>
              <w:right w:val="single" w:sz="4" w:color="D9D9D9"/>
            </w:tcBorders>
            <w:shd w:fill="E6EBEE"/>
          </w:tcPr>
          <w:p>
            <w:pPr>
              <w:spacing w:before="80" w:after="80"/>
            </w:pPr>
            <w:r>
              <w:rPr>
                <w:b/>
                <w:sz w:val="18"/>
              </w:rPr>
              <w:t>You can respond</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Can one action show several competencies?</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Yes. Explain each connection with evidence. Choose the strongest ones instead of adding every label.</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What if the result was unsuccessful?</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Describe the outcome honestly, what you learned, and what you changed or would do next. Do not invent success.</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Does this prove I have mastered a skill?</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No. This reflection identifies evidence and areas for growth; one example is not a validated proficiency assessment.</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Will employers or graduate programs use these exact words?</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They may use different language. Describe the behavior clearly and connect it to the actual role or program.</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What if I do not know my future job or program?</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Use a plausible role or academic direction for practice. You can change the relevance statement when your audience changes.</w:t>
            </w:r>
          </w:p>
        </w:tc>
      </w:tr>
    </w:tbl>
    <w:p>
      <w:pPr>
        <w:pStyle w:val="Heading2"/>
      </w:pPr>
      <w:r>
        <w:t>How to judge the work</w:t>
      </w:r>
    </w:p>
    <w:p>
      <w:pPr>
        <w:spacing w:after="100"/>
      </w:pPr>
      <w:r>
        <w:t>Use the feedback checklist in Practice explaining the experience. An adequate response identifies a real action, supports a plausible competency connection, describes an honest outcome or learning, and explains relevance to the chosen audience. Ask students to revise missing elements. Do not score personal disclosure, accent, confidence, access to prestigious experiences, or a self-rated proficiency level.</w:t>
      </w:r>
    </w:p>
    <w:p>
      <w:pPr>
        <w:pStyle w:val="Heading1"/>
        <w:pageBreakBefore/>
      </w:pPr>
      <w:r>
        <w:t>Student reflection worksheet</w:t>
      </w:r>
    </w:p>
    <w:p>
      <w:pPr>
        <w:spacing w:after="100"/>
      </w:pPr>
      <w:r>
        <w:t>Experience focus  Study Abroad</w:t>
      </w:r>
    </w:p>
    <w:p>
      <w:pPr>
        <w:spacing w:after="100"/>
      </w:pPr>
      <w:r>
        <w:t>Name ______________________________  Date __________________</w:t>
      </w:r>
    </w:p>
    <w:p>
      <w:pPr>
        <w:spacing w:after="100"/>
      </w:pPr>
      <w:r>
        <w:t>Reflect on one moment in your own experience. You may use the fictional case if you prefer. Use separate paper or a digital document when you need more space.</w:t>
      </w:r>
    </w:p>
    <w:p>
      <w:pPr>
        <w:pStyle w:val="Heading2"/>
      </w:pPr>
      <w:r>
        <w:t>1  Context and responsibility</w:t>
      </w:r>
    </w:p>
    <w:p>
      <w:pPr>
        <w:spacing w:after="100"/>
      </w:pPr>
      <w:r>
        <w:t>What happened? What was your responsibility? Why did the moment matter?</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Personal actions and evidence</w:t>
      </w:r>
    </w:p>
    <w:p>
      <w:pPr>
        <w:spacing w:after="100"/>
      </w:pPr>
      <w:r>
        <w:t>What did you personally do? What observation, artifact, feedback, or outcome supports your account?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Competency connections</w:t>
      </w:r>
    </w:p>
    <w:p>
      <w:pPr>
        <w:spacing w:after="100"/>
      </w:pPr>
      <w:r>
        <w:t>Choose one or more competencies. Connect at least two personal actions to relevant NACE sample behaviors, explain why each fits, and identify evidence or feedback that supports the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Learning</w:t>
      </w:r>
    </w:p>
    <w:p>
      <w:pPr>
        <w:spacing w:after="100"/>
      </w:pPr>
      <w:r>
        <w:t>What did the experience change in your understanding, assumptions, or approach? What would you repeat or change?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A growth action</w:t>
      </w:r>
    </w:p>
    <w:p>
      <w:pPr>
        <w:spacing w:after="100"/>
      </w:pPr>
      <w:r>
        <w:t>What will you practice within two weeks? Set a date and choose a person or another source of feedback.</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1"/>
        <w:pageBreakBefore/>
      </w:pPr>
      <w:r>
        <w:t>Practice explaining the experience</w:t>
      </w:r>
    </w:p>
    <w:p>
      <w:pPr>
        <w:spacing w:after="100"/>
      </w:pPr>
      <w:r>
        <w:t>Choose a real or hypothetical role or graduate program. Name a requirement, academic interest, or learning goal that makes your example relevant. Prepare a 60–90 second response.</w:t>
      </w:r>
    </w:p>
    <w:p>
      <w:pPr>
        <w:keepNext/>
        <w:spacing w:after="20" w:before="100"/>
      </w:pPr>
      <w:r>
        <w:rPr>
          <w:b/>
          <w:sz w:val="19"/>
        </w:rPr>
        <w:t>Employer prompt:</w:t>
      </w:r>
    </w:p>
    <w:p>
      <w:pPr>
        <w:keepLines/>
        <w:spacing w:after="100"/>
        <w:ind w:left="216"/>
      </w:pPr>
      <w:r>
        <w:t>Describe a time you adapted how you worked with people whose perspectives or expectations differed from yours.</w:t>
      </w:r>
    </w:p>
    <w:p>
      <w:pPr>
        <w:keepNext/>
        <w:spacing w:after="20" w:before="100"/>
      </w:pPr>
      <w:r>
        <w:rPr>
          <w:b/>
          <w:sz w:val="19"/>
        </w:rPr>
        <w:t>Graduate school prompt:</w:t>
      </w:r>
    </w:p>
    <w:p>
      <w:pPr>
        <w:keepLines/>
        <w:spacing w:after="100"/>
        <w:ind w:left="216"/>
      </w:pPr>
      <w:r>
        <w:t>How did an international learning experience change your questions, approach, or preparation for graduate study?</w:t>
      </w:r>
    </w:p>
    <w:p>
      <w:pPr>
        <w:pStyle w:val="Heading2"/>
      </w:pPr>
      <w:r>
        <w:t>Build your STAR answer</w:t>
      </w:r>
    </w:p>
    <w:p>
      <w:pPr>
        <w:spacing w:after="100"/>
      </w:pPr>
      <w:r>
        <w:t>S — Situation: Where were you, and what challenge or opportunity arose? T — Task: What was your specific responsibility or goal? A — Action: What steps did you personally take, and why? R — Result: What happened as a result? Describe the evidence and what you learned. After STAR, add a brief relevance statement: How does this example prepare you for the role or academic work?</w:t>
      </w:r>
    </w:p>
    <w:p>
      <w:pPr>
        <w:pStyle w:val="Heading2"/>
      </w:pPr>
      <w:r>
        <w:t>Two examples based on the fictional case</w:t>
      </w:r>
    </w:p>
    <w:p>
      <w:pPr>
        <w:keepNext/>
        <w:spacing w:after="20" w:before="100"/>
      </w:pPr>
      <w:r>
        <w:rPr>
          <w:b/>
          <w:sz w:val="19"/>
        </w:rPr>
        <w:t>Employer version:</w:t>
      </w:r>
    </w:p>
    <w:p>
      <w:pPr>
        <w:keepLines/>
        <w:spacing w:after="100"/>
        <w:ind w:left="216"/>
      </w:pPr>
      <w:r>
        <w:t>During a study abroad project, our group had different expectations about participation and feedback. My responsibility was to contribute to our project and help the group agree on how to work together. I asked about preferences, examined my assumptions, and helped us create shared working agreements. We later revised them after checking how participation was working. This strengthened my communication and teamwork across different perspectives, which I would use when joining a new team.</w:t>
      </w:r>
    </w:p>
    <w:p>
      <w:pPr>
        <w:keepNext/>
        <w:spacing w:after="20" w:before="100"/>
      </w:pPr>
      <w:r>
        <w:rPr>
          <w:b/>
          <w:sz w:val="19"/>
        </w:rPr>
        <w:t>Graduate school version:</w:t>
      </w:r>
    </w:p>
    <w:p>
      <w:pPr>
        <w:keepLines/>
        <w:spacing w:after="100"/>
        <w:ind w:left="216"/>
      </w:pPr>
      <w:r>
        <w:t>A study abroad project showed me how untested assumptions can shape collaboration. My responsibility was to contribute to our project and help the group agree on how to work together. I asked teammates about their working preferences and helped revise our shared agreements. I learned to seek context before interpreting another person’s behavior and to treat my perspective as incomplete. I would bring that reflective approach to graduate seminars and collaborative inquiry.</w:t>
      </w:r>
    </w:p>
    <w:p>
      <w:pPr>
        <w:pStyle w:val="Heading2"/>
      </w:pPr>
      <w:r>
        <w:t>Practice and revise</w:t>
      </w:r>
    </w:p>
    <w:p>
      <w:pPr>
        <w:spacing w:after="100"/>
      </w:pPr>
      <w:r>
        <w:t>Draft for 3 minutes. Partner A speaks and receives feedback for 3 minutes; swap for 3 minutes. Revise for 2 minutes. Use the final 3 minutes for both revised answers. Spoken practice can be replaced by an equivalent accessible format agreed with the facilitator.</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What adequate evidence looks like</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Situation and Task</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setting is clear, and the student distinguishes their responsibility from the broader challenge.</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Personal contribution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listener can identify what this student did, not only what the group accomplished.</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 connection</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personal action connects convincingly to a relevant NACE behavior, with supporting detail.</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Outcome and learning</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The account includes an honest result, feedback, revision, or insight.</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Audience relevance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student connects the example to a role requirement or graduate-learning goal.</w:t>
            </w:r>
          </w:p>
        </w:tc>
      </w:tr>
    </w:tbl>
    <w:p>
      <w:pPr>
        <w:spacing w:after="100"/>
      </w:pPr>
      <w:r>
        <w:t>Feedback sentence: “I heard you describe ______. That supports ______ because ______. I would understand the relevance better if you added ______.”</w:t>
      </w:r>
    </w:p>
    <w:p>
      <w:pPr>
        <w:spacing w:after="100"/>
      </w:pPr>
      <w:r>
        <w:t>Exit ticket: Keep your revised answer, describe one change made after feedback, and name a growth action with a date or feedback source.</w:t>
      </w:r>
    </w:p>
    <w:p>
      <w:pPr>
        <w:pStyle w:val="Heading1"/>
        <w:pageBreakBefore/>
      </w:pPr>
      <w:r>
        <w:t>Closing quiz instructor key</w:t>
      </w:r>
    </w:p>
    <w:p>
      <w:pPr>
        <w:spacing w:after="100"/>
      </w:pPr>
      <w:r>
        <w:t>Correct answers are labeled for the facilitator. Copy the questions into Kahoot or read them with A/B/C/D responses. Read the explanation after students respond; keep this key separate from student handouts.</w:t>
      </w:r>
    </w:p>
    <w:p>
      <w:pPr>
        <w:spacing w:after="100"/>
      </w:pPr>
      <w:r>
        <w:rPr>
          <w:b/>
        </w:rPr>
        <w:t>1  Which statement provides the strongest evidence of teamwork?</w:t>
      </w:r>
    </w:p>
    <w:p>
      <w:pPr>
        <w:spacing w:after="20"/>
        <w:ind w:left="216"/>
      </w:pPr>
      <w:r>
        <w:t>A  I am a team player</w:t>
      </w:r>
    </w:p>
    <w:p>
      <w:pPr>
        <w:spacing w:after="20"/>
        <w:ind w:left="216"/>
      </w:pPr>
      <w:r>
        <w:t>B  I belong to three organizations</w:t>
      </w:r>
    </w:p>
    <w:p>
      <w:pPr>
        <w:spacing w:after="20"/>
        <w:ind w:left="216"/>
      </w:pPr>
      <w:r>
        <w:t>C  I agreed on roles with teammates and followed through on my tasks</w:t>
      </w:r>
    </w:p>
    <w:p>
      <w:pPr>
        <w:spacing w:after="20"/>
        <w:ind w:left="216"/>
      </w:pPr>
      <w:r>
        <w:t>D  I prefer working with others</w:t>
      </w:r>
    </w:p>
    <w:p>
      <w:pPr>
        <w:spacing w:after="100"/>
      </w:pPr>
      <w:r>
        <w:rPr>
          <w:b/>
        </w:rPr>
        <w:t>Correct answer  C — Evidence describes actions, rather than a preference or membership.</w:t>
      </w:r>
    </w:p>
    <w:p>
      <w:pPr>
        <w:spacing w:after="100"/>
      </w:pPr>
      <w:r>
        <w:rPr>
          <w:b/>
        </w:rPr>
        <w:t>2  A student compares sources to choose a solution. Which competency is most directly demonstrated?</w:t>
      </w:r>
    </w:p>
    <w:p>
      <w:pPr>
        <w:spacing w:after="20"/>
        <w:ind w:left="216"/>
      </w:pPr>
      <w:r>
        <w:t>A  Critical Thinking</w:t>
      </w:r>
    </w:p>
    <w:p>
      <w:pPr>
        <w:spacing w:after="20"/>
        <w:ind w:left="216"/>
      </w:pPr>
      <w:r>
        <w:t>B  Technology</w:t>
      </w:r>
    </w:p>
    <w:p>
      <w:pPr>
        <w:spacing w:after="20"/>
        <w:ind w:left="216"/>
      </w:pPr>
      <w:r>
        <w:t>C  Professionalism</w:t>
      </w:r>
    </w:p>
    <w:p>
      <w:pPr>
        <w:spacing w:after="20"/>
        <w:ind w:left="216"/>
      </w:pPr>
      <w:r>
        <w:t>D  Career and Self-Development</w:t>
      </w:r>
    </w:p>
    <w:p>
      <w:pPr>
        <w:spacing w:after="100"/>
      </w:pPr>
      <w:r>
        <w:rPr>
          <w:b/>
        </w:rPr>
        <w:t>Correct answer  A — Evaluating information to support a decision demonstrates critical thinking.</w:t>
      </w:r>
    </w:p>
    <w:p>
      <w:pPr>
        <w:spacing w:after="100"/>
      </w:pPr>
      <w:r>
        <w:rPr>
          <w:b/>
        </w:rPr>
        <w:t>3  Which action most directly demonstrates communication?</w:t>
      </w:r>
    </w:p>
    <w:p>
      <w:pPr>
        <w:spacing w:after="20"/>
        <w:ind w:left="216"/>
      </w:pPr>
      <w:r>
        <w:t>A  Buying a new laptop</w:t>
      </w:r>
    </w:p>
    <w:p>
      <w:pPr>
        <w:spacing w:after="20"/>
        <w:ind w:left="216"/>
      </w:pPr>
      <w:r>
        <w:t>B  Choosing a major</w:t>
      </w:r>
    </w:p>
    <w:p>
      <w:pPr>
        <w:spacing w:after="20"/>
        <w:ind w:left="216"/>
      </w:pPr>
      <w:r>
        <w:t>C  Arriving early</w:t>
      </w:r>
    </w:p>
    <w:p>
      <w:pPr>
        <w:spacing w:after="20"/>
        <w:ind w:left="216"/>
      </w:pPr>
      <w:r>
        <w:t>D  Checking that others understood the project instructions</w:t>
      </w:r>
    </w:p>
    <w:p>
      <w:pPr>
        <w:spacing w:after="100"/>
      </w:pPr>
      <w:r>
        <w:rPr>
          <w:b/>
        </w:rPr>
        <w:t>Correct answer  D — Checking shared understanding is a communication behavior.</w:t>
      </w:r>
    </w:p>
    <w:p>
      <w:pPr>
        <w:spacing w:after="100"/>
      </w:pPr>
      <w:r>
        <w:rPr>
          <w:b/>
        </w:rPr>
        <w:t>4  Lee asks about working preferences instead of stereotyping a culture. What makes this useful evidence?</w:t>
      </w:r>
    </w:p>
    <w:p>
      <w:pPr>
        <w:spacing w:after="20"/>
        <w:ind w:left="216"/>
      </w:pPr>
      <w:r>
        <w:t>A  It shows a specific action to check assumptions and support collaboration</w:t>
      </w:r>
    </w:p>
    <w:p>
      <w:pPr>
        <w:spacing w:after="20"/>
        <w:ind w:left="216"/>
      </w:pPr>
      <w:r>
        <w:t>B  It proves travel automatically produces cultural expertise</w:t>
      </w:r>
    </w:p>
    <w:p>
      <w:pPr>
        <w:spacing w:after="20"/>
        <w:ind w:left="216"/>
      </w:pPr>
      <w:r>
        <w:t>C  It ranks one communication style as universally correct</w:t>
      </w:r>
    </w:p>
    <w:p>
      <w:pPr>
        <w:spacing w:after="20"/>
        <w:ind w:left="216"/>
      </w:pPr>
      <w:r>
        <w:t>D  It shows all people from the same country work alike</w:t>
      </w:r>
    </w:p>
    <w:p>
      <w:pPr>
        <w:spacing w:after="100"/>
      </w:pPr>
      <w:r>
        <w:rPr>
          <w:b/>
        </w:rPr>
        <w:t>Correct answer  A — Communication: asking about expectations and checking understanding. Other connections require their own evidence.</w:t>
      </w:r>
    </w:p>
    <w:p>
      <w:pPr>
        <w:pStyle w:val="Heading1"/>
        <w:pageBreakBefore/>
      </w:pPr>
      <w:r>
        <w:t>Closing quiz instructor key continued</w:t>
      </w:r>
    </w:p>
    <w:p>
      <w:pPr>
        <w:spacing w:after="100"/>
      </w:pPr>
      <w:r>
        <w:rPr>
          <w:b/>
        </w:rPr>
        <w:t>5  Which explanation best connects an experience to a competency?</w:t>
      </w:r>
    </w:p>
    <w:p>
      <w:pPr>
        <w:spacing w:after="20"/>
        <w:ind w:left="216"/>
      </w:pPr>
      <w:r>
        <w:t>A  The experience title proves the skill</w:t>
      </w:r>
    </w:p>
    <w:p>
      <w:pPr>
        <w:spacing w:after="20"/>
        <w:ind w:left="216"/>
      </w:pPr>
      <w:r>
        <w:t>B  A specific personal action plus evidence and an explanation</w:t>
      </w:r>
    </w:p>
    <w:p>
      <w:pPr>
        <w:spacing w:after="20"/>
        <w:ind w:left="216"/>
      </w:pPr>
      <w:r>
        <w:t>C  A list of all eight competencies without examples</w:t>
      </w:r>
    </w:p>
    <w:p>
      <w:pPr>
        <w:spacing w:after="20"/>
        <w:ind w:left="216"/>
      </w:pPr>
      <w:r>
        <w:t>D  A claim that the entire team succeeded</w:t>
      </w:r>
    </w:p>
    <w:p>
      <w:pPr>
        <w:spacing w:after="100"/>
      </w:pPr>
      <w:r>
        <w:rPr>
          <w:b/>
        </w:rPr>
        <w:t>Correct answer  B — A defensible connection identifies the student’s action and explains what supports the claim.</w:t>
      </w:r>
    </w:p>
    <w:p>
      <w:pPr>
        <w:spacing w:after="100"/>
      </w:pPr>
      <w:r>
        <w:rPr>
          <w:b/>
        </w:rPr>
        <w:t>6  What should change when explaining the same experience to a graduate-school audience?</w:t>
      </w:r>
    </w:p>
    <w:p>
      <w:pPr>
        <w:spacing w:after="20"/>
        <w:ind w:left="216"/>
      </w:pPr>
      <w:r>
        <w:t>A  Invent a more impressive result</w:t>
      </w:r>
    </w:p>
    <w:p>
      <w:pPr>
        <w:spacing w:after="20"/>
        <w:ind w:left="216"/>
      </w:pPr>
      <w:r>
        <w:t>B  Remove all reference to personal actions</w:t>
      </w:r>
    </w:p>
    <w:p>
      <w:pPr>
        <w:spacing w:after="20"/>
        <w:ind w:left="216"/>
      </w:pPr>
      <w:r>
        <w:t>C  Connect the learning to academic questions and readiness for advanced study</w:t>
      </w:r>
    </w:p>
    <w:p>
      <w:pPr>
        <w:spacing w:after="20"/>
        <w:ind w:left="216"/>
      </w:pPr>
      <w:r>
        <w:t>D  Use the same generic closing for every program</w:t>
      </w:r>
    </w:p>
    <w:p>
      <w:pPr>
        <w:spacing w:after="100"/>
      </w:pPr>
      <w:r>
        <w:rPr>
          <w:b/>
        </w:rPr>
        <w:t>Correct answer  C — Keep the facts accurate and adapt the relevance to the program and purpose.</w:t>
      </w:r>
    </w:p>
    <w:p>
      <w:pPr>
        <w:spacing w:after="100"/>
      </w:pPr>
      <w:r>
        <w:rPr>
          <w:b/>
        </w:rPr>
        <w:t>7  You cannot show a successful final result. What is the most useful response?</w:t>
      </w:r>
    </w:p>
    <w:p>
      <w:pPr>
        <w:spacing w:after="20"/>
        <w:ind w:left="216"/>
      </w:pPr>
      <w:r>
        <w:t>A  State an honest outcome, feedback, or learning and explain your next step</w:t>
      </w:r>
    </w:p>
    <w:p>
      <w:pPr>
        <w:spacing w:after="20"/>
        <w:ind w:left="216"/>
      </w:pPr>
      <w:r>
        <w:t>B  Make up a percentage improvement</w:t>
      </w:r>
    </w:p>
    <w:p>
      <w:pPr>
        <w:spacing w:after="20"/>
        <w:ind w:left="216"/>
      </w:pPr>
      <w:r>
        <w:t>C  Avoid describing what you personally did</w:t>
      </w:r>
    </w:p>
    <w:p>
      <w:pPr>
        <w:spacing w:after="20"/>
        <w:ind w:left="216"/>
      </w:pPr>
      <w:r>
        <w:t>D  Say the experience taught every competency equally</w:t>
      </w:r>
    </w:p>
    <w:p>
      <w:pPr>
        <w:spacing w:after="100"/>
      </w:pPr>
      <w:r>
        <w:rPr>
          <w:b/>
        </w:rPr>
        <w:t>Correct answer  A — Reflection can draw evidence from learning and revision without inventing success.</w:t>
      </w:r>
    </w:p>
    <w:p>
      <w:pPr>
        <w:spacing w:after="100"/>
      </w:pPr>
      <w:r>
        <w:rPr>
          <w:b/>
        </w:rPr>
        <w:t>8  Which response best uses peer feedback?</w:t>
      </w:r>
    </w:p>
    <w:p>
      <w:pPr>
        <w:spacing w:after="20"/>
        <w:ind w:left="216"/>
      </w:pPr>
      <w:r>
        <w:t>A  Memorize the competency definition only</w:t>
      </w:r>
    </w:p>
    <w:p>
      <w:pPr>
        <w:spacing w:after="20"/>
        <w:ind w:left="216"/>
      </w:pPr>
      <w:r>
        <w:t>B  Keep the first answer even if it is unclear</w:t>
      </w:r>
    </w:p>
    <w:p>
      <w:pPr>
        <w:spacing w:after="20"/>
        <w:ind w:left="216"/>
      </w:pPr>
      <w:r>
        <w:t>C  Add more labels without evidence</w:t>
      </w:r>
    </w:p>
    <w:p>
      <w:pPr>
        <w:spacing w:after="20"/>
        <w:ind w:left="216"/>
      </w:pPr>
      <w:r>
        <w:t>D  Revise the example, explain its relevance, and practice it again</w:t>
      </w:r>
    </w:p>
    <w:p>
      <w:pPr>
        <w:spacing w:after="100"/>
      </w:pPr>
      <w:r>
        <w:rPr>
          <w:b/>
        </w:rPr>
        <w:t>Correct answer  D — A stronger explanation improves through evidence, audience relevance, and another attempt.</w:t>
      </w:r>
    </w:p>
    <w:p>
      <w:pPr>
        <w:pStyle w:val="Heading1"/>
        <w:pageBreakBefore/>
      </w:pPr>
      <w:r>
        <w:t>Preparation resources and website alignment</w:t>
      </w:r>
    </w:p>
    <w:p>
      <w:pPr>
        <w:pStyle w:val="Heading2"/>
      </w:pPr>
      <w:r>
        <w:t>Preparation before the session</w:t>
      </w:r>
    </w:p>
    <w:p>
      <w:pPr>
        <w:spacing w:after="100"/>
      </w:pPr>
      <w:r>
        <w:t>Read NACE’s official definitions and sample behaviors, then the teaching background. Practice the sample explanation aloud. Print the Student reflection worksheet and Practice explaining the experience handouts. Make the competency teaching table available. Test the quiz method and choose a way to collect the exit ticket. Read the case and its debrief before teaching. For large groups, keep partner work in place rather than waiting for every group to report.</w:t>
      </w:r>
    </w:p>
    <w:p>
      <w:pPr>
        <w:pStyle w:val="Heading2"/>
      </w:pPr>
      <w:r>
        <w:t>Virtual and accessible delivery</w:t>
      </w:r>
    </w:p>
    <w:p>
      <w:pPr>
        <w:spacing w:after="100"/>
      </w:pPr>
      <w:r>
        <w:t>Use private writing, chat or a shared document for the opening; pairs or a private alternative for practice; and a poll or typed A/B/C/D answers for the quiz. Read prompts aloud and allow processing time. Students may anonymize details or work from the fictional case. Assessment concerns evidence and reasoning, not accent, confidence, disability-related presentation differences, or access to prestigious experiences.</w:t>
      </w:r>
    </w:p>
    <w:p>
      <w:pPr>
        <w:pStyle w:val="Heading2"/>
      </w:pPr>
      <w:r>
        <w:t>Relevant Rutgers support</w:t>
      </w:r>
    </w:p>
    <w:p>
      <w:pPr>
        <w:spacing w:after="100"/>
      </w:pPr>
      <w:r>
        <w:t>Rutgers Global Study Abroad: https://global.rutgers.edu/study-abroad</w:t>
      </w:r>
    </w:p>
    <w:p>
      <w:pPr>
        <w:spacing w:after="100"/>
      </w:pPr>
      <w:r>
        <w:t>CES advising and resources: https://careers.rutgers.edu/students-and-alumni</w:t>
      </w:r>
    </w:p>
    <w:p>
      <w:pPr>
        <w:spacing w:after="100"/>
      </w:pPr>
      <w:r>
        <w:t>These workshop activities do not automatically qualify for We R Career-Ready Challenge points or rewards. Use the current partner and student guidance before making any participation claim.</w:t>
      </w:r>
    </w:p>
    <w:p>
      <w:pPr>
        <w:pStyle w:val="Heading2"/>
      </w:pPr>
      <w:r>
        <w:t>Website language checked</w:t>
      </w:r>
    </w:p>
    <w:p>
      <w:pPr>
        <w:spacing w:after="100"/>
      </w:pPr>
      <w:r>
        <w:t>Reviewed November 1, 2026. The guides retain CES’s emphasis on recognizing learning, reflecting on experience, and explaining evidence. Interview practice follows the site’s emphasis on a specific, honest example. STAR is used at the user’s request and supported by the linked Rutgers Newark resource. Learning and audience relevance extend the practice beyond a basic interview answer. The local terminology difference is noted in the facilitator background.</w:t>
      </w:r>
    </w:p>
    <w:p>
      <w:pPr>
        <w:pStyle w:val="Heading2"/>
      </w:pPr>
      <w:r>
        <w:t>Sources and adaptation</w:t>
      </w:r>
    </w:p>
    <w:p>
      <w:pPr>
        <w:spacing w:after="100"/>
      </w:pPr>
      <w:r>
        <w:t>CES Campus Partners: https://careers.rutgers.edu/campus-partners</w:t>
      </w:r>
    </w:p>
    <w:p>
      <w:pPr>
        <w:spacing w:after="100"/>
      </w:pPr>
      <w:r>
        <w:t>CES Find Your Role: https://careers.rutgers.edu/campus-partners/explore-role</w:t>
      </w:r>
    </w:p>
    <w:p>
      <w:pPr>
        <w:spacing w:after="100"/>
      </w:pPr>
      <w:r>
        <w:t>CES Roadmap and Frameworks: https://careers.rutgers.edu/campus-partners/strategicplan-2030</w:t>
      </w:r>
    </w:p>
    <w:p>
      <w:pPr>
        <w:spacing w:after="100"/>
      </w:pPr>
      <w:r>
        <w:t>CES Becoming Career Ready: https://careers.rutgers.edu/news/becoming-career-ready</w:t>
      </w:r>
    </w:p>
    <w:p>
      <w:pPr>
        <w:spacing w:after="100"/>
      </w:pPr>
      <w:r>
        <w:t>CES Are You Ready for a Behavioral Interview: https://careers.rutgers.edu/news/are-you-ready-behavioral-interview</w:t>
      </w:r>
    </w:p>
    <w:p>
      <w:pPr>
        <w:spacing w:after="100"/>
      </w:pPr>
      <w:r>
        <w:t>Rutgers Newark STAR Method: https://cdn.careers.newark.rutgers.edu/wp-content/uploads/sites/90/2022/07/STAR-Method.pdf</w:t>
      </w:r>
    </w:p>
    <w:p>
      <w:pPr>
        <w:spacing w:after="100"/>
      </w:pPr>
      <w:r>
        <w:t>CES Authoring Your Value Personal Statement: https://careers.rutgers.edu/news/authoring-your-value-personal-statement</w:t>
      </w:r>
    </w:p>
    <w:p>
      <w:pPr>
        <w:spacing w:after="100"/>
      </w:pPr>
      <w:r>
        <w:t>NACE competency definitions and behaviors: https://www.naceweb.org/career-readiness/competencies/career-readiness-defined</w:t>
      </w:r>
    </w:p>
    <w:p>
      <w:pPr>
        <w:spacing w:after="100"/>
      </w:pPr>
      <w:r>
        <w:t>Source materials: CES Presentation Library, 2025 CORE_Transferable Skills.pptx and NACE &amp; Suitable Overview 2026.pptx; Professional Skills Self Reflection.pdf, courtesy of Michele Baran, Life Design Solutions, LLC. Cases, scripts, responses, and activities are instructional adaptations; fictional examples are not actual Rutgers outcomes.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Through Study Abroad</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