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Career Readiness Through Student Leadership</w:t>
      </w:r>
    </w:p>
    <w:p>
      <w:pPr>
        <w:spacing w:after="100"/>
      </w:pPr>
      <w:r>
        <w:t>60-minute lesson plan and facilitator teaching guide</w:t>
      </w:r>
    </w:p>
    <w:p>
      <w:pPr>
        <w:spacing w:after="100"/>
      </w:pPr>
      <w:r>
        <w:t>Students reflect on a student leadership experience, connect their own actions to one or more NACE career readiness competencies, and practice explaining that evidence to an employer or graduate-school representative. They leave with a revised spoken example and a specific growth action.</w:t>
      </w:r>
    </w:p>
    <w:p>
      <w:pPr>
        <w:pStyle w:val="Heading2"/>
      </w:pPr>
      <w:r>
        <w:t>How to use this guide</w:t>
      </w:r>
    </w:p>
    <w:p>
      <w:pPr>
        <w:spacing w:after="100"/>
      </w:pPr>
      <w:r>
        <w:t>Read the teaching background and all suggested wording before the session. The preparation reading is outside the 60-minute student session. You may use the suggested language verbatim or adapt it after you understand the concept. Handouts and answer keys are included; slides are not needed to facilitate this version.</w:t>
      </w:r>
    </w:p>
    <w:p>
      <w:pPr>
        <w:pStyle w:val="Heading2"/>
      </w:pPr>
      <w:r>
        <w:t>Audience and learning objectives</w:t>
      </w:r>
    </w:p>
    <w:p>
      <w:pPr>
        <w:spacing w:after="100"/>
      </w:pPr>
      <w:r>
        <w:t>Students reflecting on a student leadership experience; suitable during or after the experience.</w:t>
      </w:r>
    </w:p>
    <w:p>
      <w:pPr>
        <w:pStyle w:val="ListBullet"/>
      </w:pPr>
      <w:r>
        <w:t>Reflect on a specific experience by distinguishing personal actions, outcomes, and learning.</w:t>
      </w:r>
    </w:p>
    <w:p>
      <w:pPr>
        <w:pStyle w:val="ListBullet"/>
      </w:pPr>
      <w:r>
        <w:t>Connect at least two actions to one or more NACE competencies and explain the evidence.</w:t>
      </w:r>
    </w:p>
    <w:p>
      <w:pPr>
        <w:pStyle w:val="ListBullet"/>
      </w:pPr>
      <w:r>
        <w:t>Deliver and revise a 60–90 second example for an employer or graduate-school representative using peer feedback.</w:t>
      </w:r>
    </w:p>
    <w:p>
      <w:pPr>
        <w:pStyle w:val="Heading2"/>
      </w:pPr>
      <w:r>
        <w:t>Session schedule</w:t>
      </w:r>
    </w:p>
    <w:tbl>
      <w:tblPr>
        <w:tblW w:type="auto" w:w="0"/>
        <w:tblLayout w:type="fixed"/>
        <w:tblLook w:firstColumn="1" w:firstRow="1" w:lastColumn="0" w:lastRow="0" w:noHBand="0" w:noVBand="1" w:val="04A0"/>
      </w:tblPr>
      <w:tblGrid>
        <w:gridCol w:w="936"/>
        <w:gridCol w:w="2160"/>
        <w:gridCol w:w="7128"/>
      </w:tblGrid>
      <w:tr>
        <w:trPr>
          <w:cantSplit/>
          <w:tblHeader/>
        </w:trPr>
        <w:tc>
          <w:tcPr>
            <w:tcW w:type="dxa" w:w="936"/>
            <w:tcBorders>
              <w:top w:val="single" w:sz="4" w:color="D9D9D9"/>
              <w:bottom w:val="single" w:sz="4" w:color="D9D9D9"/>
              <w:left w:val="single" w:sz="4" w:color="D9D9D9"/>
              <w:right w:val="single" w:sz="4" w:color="D9D9D9"/>
            </w:tcBorders>
            <w:shd w:fill="E6EBEE"/>
          </w:tcPr>
          <w:p>
            <w:pPr>
              <w:spacing w:before="80" w:after="80"/>
            </w:pPr>
            <w:r>
              <w:rPr>
                <w:b/>
                <w:sz w:val="18"/>
              </w:rPr>
              <w:t>Time</w:t>
            </w:r>
          </w:p>
        </w:tc>
        <w:tc>
          <w:tcPr>
            <w:tcW w:type="dxa" w:w="2160"/>
            <w:tcBorders>
              <w:top w:val="single" w:sz="4" w:color="D9D9D9"/>
              <w:bottom w:val="single" w:sz="4" w:color="D9D9D9"/>
              <w:left w:val="single" w:sz="4" w:color="D9D9D9"/>
              <w:right w:val="single" w:sz="4" w:color="D9D9D9"/>
            </w:tcBorders>
            <w:shd w:fill="E6EBEE"/>
          </w:tcPr>
          <w:p>
            <w:pPr>
              <w:spacing w:before="80" w:after="80"/>
            </w:pPr>
            <w:r>
              <w:rPr>
                <w:b/>
                <w:sz w:val="18"/>
              </w:rPr>
              <w:t>Activity</w:t>
            </w:r>
          </w:p>
        </w:tc>
        <w:tc>
          <w:tcPr>
            <w:tcW w:type="dxa" w:w="7128"/>
            <w:tcBorders>
              <w:top w:val="single" w:sz="4" w:color="D9D9D9"/>
              <w:bottom w:val="single" w:sz="4" w:color="D9D9D9"/>
              <w:left w:val="single" w:sz="4" w:color="D9D9D9"/>
              <w:right w:val="single" w:sz="4" w:color="D9D9D9"/>
            </w:tcBorders>
            <w:shd w:fill="E6EBEE"/>
          </w:tcPr>
          <w:p>
            <w:pPr>
              <w:spacing w:before="80" w:after="80"/>
            </w:pPr>
            <w:r>
              <w:rPr>
                <w:b/>
                <w:sz w:val="18"/>
              </w:rPr>
              <w:t>Student action</w:t>
            </w:r>
          </w:p>
        </w:tc>
      </w:tr>
      <w:tr>
        <w:trPr>
          <w:cantSplit/>
        </w:trPr>
        <w:tc>
          <w:tcPr>
            <w:tcW w:type="dxa" w:w="936"/>
            <w:tcBorders>
              <w:top w:val="single" w:sz="4" w:color="D9D9D9"/>
              <w:bottom w:val="single" w:sz="4" w:color="D9D9D9"/>
              <w:left w:val="single" w:sz="4" w:color="D9D9D9"/>
              <w:right w:val="single" w:sz="4" w:color="D9D9D9"/>
            </w:tcBorders>
            <w:shd w:fill="FFFFFF"/>
          </w:tcPr>
          <w:p>
            <w:pPr>
              <w:spacing w:before="80" w:after="80"/>
            </w:pPr>
            <w:r>
              <w:rPr>
                <w:b w:val="0"/>
                <w:sz w:val="18"/>
              </w:rPr>
              <w:t>0–5</w:t>
            </w:r>
          </w:p>
        </w:tc>
        <w:tc>
          <w:tcPr>
            <w:tcW w:type="dxa" w:w="2160"/>
            <w:tcBorders>
              <w:top w:val="single" w:sz="4" w:color="D9D9D9"/>
              <w:bottom w:val="single" w:sz="4" w:color="D9D9D9"/>
              <w:left w:val="single" w:sz="4" w:color="D9D9D9"/>
              <w:right w:val="single" w:sz="4" w:color="D9D9D9"/>
            </w:tcBorders>
            <w:shd w:fill="FFFFFF"/>
          </w:tcPr>
          <w:p>
            <w:pPr>
              <w:spacing w:before="80" w:after="80"/>
            </w:pPr>
            <w:r>
              <w:rPr>
                <w:b w:val="0"/>
                <w:sz w:val="18"/>
              </w:rPr>
              <w:t>Opening action</w:t>
            </w:r>
          </w:p>
        </w:tc>
        <w:tc>
          <w:tcPr>
            <w:tcW w:type="dxa" w:w="7128"/>
            <w:tcBorders>
              <w:top w:val="single" w:sz="4" w:color="D9D9D9"/>
              <w:bottom w:val="single" w:sz="4" w:color="D9D9D9"/>
              <w:left w:val="single" w:sz="4" w:color="D9D9D9"/>
              <w:right w:val="single" w:sz="4" w:color="D9D9D9"/>
            </w:tcBorders>
            <w:shd w:fill="FFFFFF"/>
          </w:tcPr>
          <w:p>
            <w:pPr>
              <w:spacing w:before="80" w:after="80"/>
            </w:pPr>
            <w:r>
              <w:rPr>
                <w:b w:val="0"/>
                <w:sz w:val="18"/>
              </w:rPr>
              <w:t>Recall an experience and write an action that mattered.</w:t>
            </w:r>
          </w:p>
        </w:tc>
      </w:tr>
      <w:tr>
        <w:trPr>
          <w:cantSplit/>
        </w:trPr>
        <w:tc>
          <w:tcPr>
            <w:tcW w:type="dxa" w:w="936"/>
            <w:tcBorders>
              <w:top w:val="single" w:sz="4" w:color="D9D9D9"/>
              <w:bottom w:val="single" w:sz="4" w:color="D9D9D9"/>
              <w:left w:val="single" w:sz="4" w:color="D9D9D9"/>
              <w:right w:val="single" w:sz="4" w:color="D9D9D9"/>
            </w:tcBorders>
            <w:shd w:fill="F5F5F5"/>
          </w:tcPr>
          <w:p>
            <w:pPr>
              <w:spacing w:before="80" w:after="80"/>
            </w:pPr>
            <w:r>
              <w:rPr>
                <w:b w:val="0"/>
                <w:sz w:val="18"/>
              </w:rPr>
              <w:t>5–12</w:t>
            </w:r>
          </w:p>
        </w:tc>
        <w:tc>
          <w:tcPr>
            <w:tcW w:type="dxa" w:w="2160"/>
            <w:tcBorders>
              <w:top w:val="single" w:sz="4" w:color="D9D9D9"/>
              <w:bottom w:val="single" w:sz="4" w:color="D9D9D9"/>
              <w:left w:val="single" w:sz="4" w:color="D9D9D9"/>
              <w:right w:val="single" w:sz="4" w:color="D9D9D9"/>
            </w:tcBorders>
            <w:shd w:fill="F5F5F5"/>
          </w:tcPr>
          <w:p>
            <w:pPr>
              <w:spacing w:before="80" w:after="80"/>
            </w:pPr>
            <w:r>
              <w:rPr>
                <w:b w:val="0"/>
                <w:sz w:val="18"/>
              </w:rPr>
              <w:t>Competency framework</w:t>
            </w:r>
          </w:p>
        </w:tc>
        <w:tc>
          <w:tcPr>
            <w:tcW w:type="dxa" w:w="7128"/>
            <w:tcBorders>
              <w:top w:val="single" w:sz="4" w:color="D9D9D9"/>
              <w:bottom w:val="single" w:sz="4" w:color="D9D9D9"/>
              <w:left w:val="single" w:sz="4" w:color="D9D9D9"/>
              <w:right w:val="single" w:sz="4" w:color="D9D9D9"/>
            </w:tcBorders>
            <w:shd w:fill="F5F5F5"/>
          </w:tcPr>
          <w:p>
            <w:pPr>
              <w:spacing w:before="80" w:after="80"/>
            </w:pPr>
            <w:r>
              <w:rPr>
                <w:b w:val="0"/>
                <w:sz w:val="18"/>
              </w:rPr>
              <w:t>Review the eight competencies and distinguish labels from evidence.</w:t>
            </w:r>
          </w:p>
        </w:tc>
      </w:tr>
      <w:tr>
        <w:trPr>
          <w:cantSplit/>
        </w:trPr>
        <w:tc>
          <w:tcPr>
            <w:tcW w:type="dxa" w:w="936"/>
            <w:tcBorders>
              <w:top w:val="single" w:sz="4" w:color="D9D9D9"/>
              <w:bottom w:val="single" w:sz="4" w:color="D9D9D9"/>
              <w:left w:val="single" w:sz="4" w:color="D9D9D9"/>
              <w:right w:val="single" w:sz="4" w:color="D9D9D9"/>
            </w:tcBorders>
            <w:shd w:fill="FFFFFF"/>
          </w:tcPr>
          <w:p>
            <w:pPr>
              <w:spacing w:before="80" w:after="80"/>
            </w:pPr>
            <w:r>
              <w:rPr>
                <w:b w:val="0"/>
                <w:sz w:val="18"/>
              </w:rPr>
              <w:t>12–20</w:t>
            </w:r>
          </w:p>
        </w:tc>
        <w:tc>
          <w:tcPr>
            <w:tcW w:type="dxa" w:w="2160"/>
            <w:tcBorders>
              <w:top w:val="single" w:sz="4" w:color="D9D9D9"/>
              <w:bottom w:val="single" w:sz="4" w:color="D9D9D9"/>
              <w:left w:val="single" w:sz="4" w:color="D9D9D9"/>
              <w:right w:val="single" w:sz="4" w:color="D9D9D9"/>
            </w:tcBorders>
            <w:shd w:fill="FFFFFF"/>
          </w:tcPr>
          <w:p>
            <w:pPr>
              <w:spacing w:before="80" w:after="80"/>
            </w:pPr>
            <w:r>
              <w:rPr>
                <w:b w:val="0"/>
                <w:sz w:val="18"/>
              </w:rPr>
              <w:t>Shared case and model</w:t>
            </w:r>
          </w:p>
        </w:tc>
        <w:tc>
          <w:tcPr>
            <w:tcW w:type="dxa" w:w="7128"/>
            <w:tcBorders>
              <w:top w:val="single" w:sz="4" w:color="D9D9D9"/>
              <w:bottom w:val="single" w:sz="4" w:color="D9D9D9"/>
              <w:left w:val="single" w:sz="4" w:color="D9D9D9"/>
              <w:right w:val="single" w:sz="4" w:color="D9D9D9"/>
            </w:tcBorders>
            <w:shd w:fill="FFFFFF"/>
          </w:tcPr>
          <w:p>
            <w:pPr>
              <w:spacing w:before="80" w:after="80"/>
            </w:pPr>
            <w:r>
              <w:rPr>
                <w:b w:val="0"/>
                <w:sz w:val="18"/>
              </w:rPr>
              <w:t>Identify actions, connections, and what an audience would need to understand.</w:t>
            </w:r>
          </w:p>
        </w:tc>
      </w:tr>
      <w:tr>
        <w:trPr>
          <w:cantSplit/>
        </w:trPr>
        <w:tc>
          <w:tcPr>
            <w:tcW w:type="dxa" w:w="936"/>
            <w:tcBorders>
              <w:top w:val="single" w:sz="4" w:color="D9D9D9"/>
              <w:bottom w:val="single" w:sz="4" w:color="D9D9D9"/>
              <w:left w:val="single" w:sz="4" w:color="D9D9D9"/>
              <w:right w:val="single" w:sz="4" w:color="D9D9D9"/>
            </w:tcBorders>
            <w:shd w:fill="F5F5F5"/>
          </w:tcPr>
          <w:p>
            <w:pPr>
              <w:spacing w:before="80" w:after="80"/>
            </w:pPr>
            <w:r>
              <w:rPr>
                <w:b w:val="0"/>
                <w:sz w:val="18"/>
              </w:rPr>
              <w:t>20–32</w:t>
            </w:r>
          </w:p>
        </w:tc>
        <w:tc>
          <w:tcPr>
            <w:tcW w:type="dxa" w:w="2160"/>
            <w:tcBorders>
              <w:top w:val="single" w:sz="4" w:color="D9D9D9"/>
              <w:bottom w:val="single" w:sz="4" w:color="D9D9D9"/>
              <w:left w:val="single" w:sz="4" w:color="D9D9D9"/>
              <w:right w:val="single" w:sz="4" w:color="D9D9D9"/>
            </w:tcBorders>
            <w:shd w:fill="F5F5F5"/>
          </w:tcPr>
          <w:p>
            <w:pPr>
              <w:spacing w:before="80" w:after="80"/>
            </w:pPr>
            <w:r>
              <w:rPr>
                <w:b w:val="0"/>
                <w:sz w:val="18"/>
              </w:rPr>
              <w:t>Individual reflection</w:t>
            </w:r>
          </w:p>
        </w:tc>
        <w:tc>
          <w:tcPr>
            <w:tcW w:type="dxa" w:w="7128"/>
            <w:tcBorders>
              <w:top w:val="single" w:sz="4" w:color="D9D9D9"/>
              <w:bottom w:val="single" w:sz="4" w:color="D9D9D9"/>
              <w:left w:val="single" w:sz="4" w:color="D9D9D9"/>
              <w:right w:val="single" w:sz="4" w:color="D9D9D9"/>
            </w:tcBorders>
            <w:shd w:fill="F5F5F5"/>
          </w:tcPr>
          <w:p>
            <w:pPr>
              <w:spacing w:before="80" w:after="80"/>
            </w:pPr>
            <w:r>
              <w:rPr>
                <w:b w:val="0"/>
                <w:sz w:val="18"/>
              </w:rPr>
              <w:t>Describe the experience, analyze actions, and explain competency connections.</w:t>
            </w:r>
          </w:p>
        </w:tc>
      </w:tr>
      <w:tr>
        <w:trPr>
          <w:cantSplit/>
        </w:trPr>
        <w:tc>
          <w:tcPr>
            <w:tcW w:type="dxa" w:w="936"/>
            <w:tcBorders>
              <w:top w:val="single" w:sz="4" w:color="D9D9D9"/>
              <w:bottom w:val="single" w:sz="4" w:color="D9D9D9"/>
              <w:left w:val="single" w:sz="4" w:color="D9D9D9"/>
              <w:right w:val="single" w:sz="4" w:color="D9D9D9"/>
            </w:tcBorders>
            <w:shd w:fill="FFFFFF"/>
          </w:tcPr>
          <w:p>
            <w:pPr>
              <w:spacing w:before="80" w:after="80"/>
            </w:pPr>
            <w:r>
              <w:rPr>
                <w:b w:val="0"/>
                <w:sz w:val="18"/>
              </w:rPr>
              <w:t>32–46</w:t>
            </w:r>
          </w:p>
        </w:tc>
        <w:tc>
          <w:tcPr>
            <w:tcW w:type="dxa" w:w="2160"/>
            <w:tcBorders>
              <w:top w:val="single" w:sz="4" w:color="D9D9D9"/>
              <w:bottom w:val="single" w:sz="4" w:color="D9D9D9"/>
              <w:left w:val="single" w:sz="4" w:color="D9D9D9"/>
              <w:right w:val="single" w:sz="4" w:color="D9D9D9"/>
            </w:tcBorders>
            <w:shd w:fill="FFFFFF"/>
          </w:tcPr>
          <w:p>
            <w:pPr>
              <w:spacing w:before="80" w:after="80"/>
            </w:pPr>
            <w:r>
              <w:rPr>
                <w:b w:val="0"/>
                <w:sz w:val="18"/>
              </w:rPr>
              <w:t>Articulation practice</w:t>
            </w:r>
          </w:p>
        </w:tc>
        <w:tc>
          <w:tcPr>
            <w:tcW w:type="dxa" w:w="7128"/>
            <w:tcBorders>
              <w:top w:val="single" w:sz="4" w:color="D9D9D9"/>
              <w:bottom w:val="single" w:sz="4" w:color="D9D9D9"/>
              <w:left w:val="single" w:sz="4" w:color="D9D9D9"/>
              <w:right w:val="single" w:sz="4" w:color="D9D9D9"/>
            </w:tcBorders>
            <w:shd w:fill="FFFFFF"/>
          </w:tcPr>
          <w:p>
            <w:pPr>
              <w:spacing w:before="80" w:after="80"/>
            </w:pPr>
            <w:r>
              <w:rPr>
                <w:b w:val="0"/>
                <w:sz w:val="18"/>
              </w:rPr>
              <w:t>Draft, speak, receive feedback, and deliver a revised example.</w:t>
            </w:r>
          </w:p>
        </w:tc>
      </w:tr>
      <w:tr>
        <w:trPr>
          <w:cantSplit/>
        </w:trPr>
        <w:tc>
          <w:tcPr>
            <w:tcW w:type="dxa" w:w="936"/>
            <w:tcBorders>
              <w:top w:val="single" w:sz="4" w:color="D9D9D9"/>
              <w:bottom w:val="single" w:sz="4" w:color="D9D9D9"/>
              <w:left w:val="single" w:sz="4" w:color="D9D9D9"/>
              <w:right w:val="single" w:sz="4" w:color="D9D9D9"/>
            </w:tcBorders>
            <w:shd w:fill="F5F5F5"/>
          </w:tcPr>
          <w:p>
            <w:pPr>
              <w:spacing w:before="80" w:after="80"/>
            </w:pPr>
            <w:r>
              <w:rPr>
                <w:b w:val="0"/>
                <w:sz w:val="18"/>
              </w:rPr>
              <w:t>46–56</w:t>
            </w:r>
          </w:p>
        </w:tc>
        <w:tc>
          <w:tcPr>
            <w:tcW w:type="dxa" w:w="2160"/>
            <w:tcBorders>
              <w:top w:val="single" w:sz="4" w:color="D9D9D9"/>
              <w:bottom w:val="single" w:sz="4" w:color="D9D9D9"/>
              <w:left w:val="single" w:sz="4" w:color="D9D9D9"/>
              <w:right w:val="single" w:sz="4" w:color="D9D9D9"/>
            </w:tcBorders>
            <w:shd w:fill="F5F5F5"/>
          </w:tcPr>
          <w:p>
            <w:pPr>
              <w:spacing w:before="80" w:after="80"/>
            </w:pPr>
            <w:r>
              <w:rPr>
                <w:b w:val="0"/>
                <w:sz w:val="18"/>
              </w:rPr>
              <w:t>Closing quiz</w:t>
            </w:r>
          </w:p>
        </w:tc>
        <w:tc>
          <w:tcPr>
            <w:tcW w:type="dxa" w:w="7128"/>
            <w:tcBorders>
              <w:top w:val="single" w:sz="4" w:color="D9D9D9"/>
              <w:bottom w:val="single" w:sz="4" w:color="D9D9D9"/>
              <w:left w:val="single" w:sz="4" w:color="D9D9D9"/>
              <w:right w:val="single" w:sz="4" w:color="D9D9D9"/>
            </w:tcBorders>
            <w:shd w:fill="F5F5F5"/>
          </w:tcPr>
          <w:p>
            <w:pPr>
              <w:spacing w:before="80" w:after="80"/>
            </w:pPr>
            <w:r>
              <w:rPr>
                <w:b w:val="0"/>
                <w:sz w:val="18"/>
              </w:rPr>
              <w:t>Respond to eight questions and explain key distinctions.</w:t>
            </w:r>
          </w:p>
        </w:tc>
      </w:tr>
      <w:tr>
        <w:trPr>
          <w:cantSplit/>
        </w:trPr>
        <w:tc>
          <w:tcPr>
            <w:tcW w:type="dxa" w:w="936"/>
            <w:tcBorders>
              <w:top w:val="single" w:sz="4" w:color="D9D9D9"/>
              <w:bottom w:val="single" w:sz="4" w:color="D9D9D9"/>
              <w:left w:val="single" w:sz="4" w:color="D9D9D9"/>
              <w:right w:val="single" w:sz="4" w:color="D9D9D9"/>
            </w:tcBorders>
            <w:shd w:fill="FFFFFF"/>
          </w:tcPr>
          <w:p>
            <w:pPr>
              <w:spacing w:before="80" w:after="80"/>
            </w:pPr>
            <w:r>
              <w:rPr>
                <w:b w:val="0"/>
                <w:sz w:val="18"/>
              </w:rPr>
              <w:t>56–60</w:t>
            </w:r>
          </w:p>
        </w:tc>
        <w:tc>
          <w:tcPr>
            <w:tcW w:type="dxa" w:w="2160"/>
            <w:tcBorders>
              <w:top w:val="single" w:sz="4" w:color="D9D9D9"/>
              <w:bottom w:val="single" w:sz="4" w:color="D9D9D9"/>
              <w:left w:val="single" w:sz="4" w:color="D9D9D9"/>
              <w:right w:val="single" w:sz="4" w:color="D9D9D9"/>
            </w:tcBorders>
            <w:shd w:fill="FFFFFF"/>
          </w:tcPr>
          <w:p>
            <w:pPr>
              <w:spacing w:before="80" w:after="80"/>
            </w:pPr>
            <w:r>
              <w:rPr>
                <w:b w:val="0"/>
                <w:sz w:val="18"/>
              </w:rPr>
              <w:t>Exit commitment</w:t>
            </w:r>
          </w:p>
        </w:tc>
        <w:tc>
          <w:tcPr>
            <w:tcW w:type="dxa" w:w="7128"/>
            <w:tcBorders>
              <w:top w:val="single" w:sz="4" w:color="D9D9D9"/>
              <w:bottom w:val="single" w:sz="4" w:color="D9D9D9"/>
              <w:left w:val="single" w:sz="4" w:color="D9D9D9"/>
              <w:right w:val="single" w:sz="4" w:color="D9D9D9"/>
            </w:tcBorders>
            <w:shd w:fill="FFFFFF"/>
          </w:tcPr>
          <w:p>
            <w:pPr>
              <w:spacing w:before="80" w:after="80"/>
            </w:pPr>
            <w:r>
              <w:rPr>
                <w:b w:val="0"/>
                <w:sz w:val="18"/>
              </w:rPr>
              <w:t>Submit a revised evidence statement and a growth action.</w:t>
            </w:r>
          </w:p>
        </w:tc>
      </w:tr>
    </w:tbl>
    <w:p>
      <w:pPr>
        <w:pStyle w:val="Heading2"/>
      </w:pPr>
      <w:r>
        <w:t>What you will collect</w:t>
      </w:r>
    </w:p>
    <w:p>
      <w:pPr>
        <w:spacing w:after="100"/>
      </w:pPr>
      <w:r>
        <w:t>A completed experience reflection, a revised 60–90 second explanation or equivalent written response, and one growth action. The eight-question closing quiz checks understanding; it is not a measure of overall competency proficiency.</w:t>
      </w:r>
    </w:p>
    <w:p>
      <w:pPr>
        <w:pStyle w:val="Heading1"/>
        <w:pageBreakBefore/>
      </w:pPr>
      <w:r>
        <w:t>Background for a first time facilitator</w:t>
      </w:r>
    </w:p>
    <w:p>
      <w:pPr>
        <w:pStyle w:val="Heading2"/>
      </w:pPr>
      <w:r>
        <w:t>What you are teaching</w:t>
      </w:r>
    </w:p>
    <w:p>
      <w:pPr>
        <w:spacing w:after="100"/>
      </w:pPr>
      <w:r>
        <w:t>NACE stands for the National Association of Colleges and Employers. Its career readiness competencies give students and educators a shared vocabulary for skills that can develop through learning and experience. CES connects academic and co-curricular learning with students’ future contributions. This lesson helps students recognize learning already occurring in their experience and practice explaining it.</w:t>
      </w:r>
    </w:p>
    <w:p>
      <w:pPr>
        <w:pStyle w:val="Heading2"/>
      </w:pPr>
      <w:r>
        <w:t>Terms you need before teaching</w:t>
      </w:r>
    </w:p>
    <w:tbl>
      <w:tblPr>
        <w:tblW w:type="auto" w:w="0"/>
        <w:tblLayout w:type="fixed"/>
        <w:tblLook w:firstColumn="1" w:firstRow="1" w:lastColumn="0" w:lastRow="0" w:noHBand="0" w:noVBand="1" w:val="04A0"/>
      </w:tblPr>
      <w:tblGrid>
        <w:gridCol w:w="2160"/>
        <w:gridCol w:w="8064"/>
      </w:tblGrid>
      <w:tr>
        <w:trPr>
          <w:cantSplit/>
          <w:tblHeader/>
        </w:trPr>
        <w:tc>
          <w:tcPr>
            <w:tcW w:type="dxa" w:w="2160"/>
            <w:tcBorders>
              <w:top w:val="single" w:sz="4" w:color="D9D9D9"/>
              <w:bottom w:val="single" w:sz="4" w:color="D9D9D9"/>
              <w:left w:val="single" w:sz="4" w:color="D9D9D9"/>
              <w:right w:val="single" w:sz="4" w:color="D9D9D9"/>
            </w:tcBorders>
            <w:shd w:fill="E6EBEE"/>
          </w:tcPr>
          <w:p>
            <w:pPr>
              <w:spacing w:before="80" w:after="80"/>
            </w:pPr>
            <w:r>
              <w:rPr>
                <w:b/>
                <w:sz w:val="18"/>
              </w:rPr>
              <w:t>Term</w:t>
            </w:r>
          </w:p>
        </w:tc>
        <w:tc>
          <w:tcPr>
            <w:tcW w:type="dxa" w:w="8064"/>
            <w:tcBorders>
              <w:top w:val="single" w:sz="4" w:color="D9D9D9"/>
              <w:bottom w:val="single" w:sz="4" w:color="D9D9D9"/>
              <w:left w:val="single" w:sz="4" w:color="D9D9D9"/>
              <w:right w:val="single" w:sz="4" w:color="D9D9D9"/>
            </w:tcBorders>
            <w:shd w:fill="E6EBEE"/>
          </w:tcPr>
          <w:p>
            <w:pPr>
              <w:spacing w:before="80" w:after="80"/>
            </w:pPr>
            <w:r>
              <w:rPr>
                <w:b/>
                <w:sz w:val="18"/>
              </w:rPr>
              <w:t>Plain language explanation</w:t>
            </w:r>
          </w:p>
        </w:tc>
      </w:tr>
      <w:tr>
        <w:trPr>
          <w:cantSplit/>
        </w:trPr>
        <w:tc>
          <w:tcPr>
            <w:tcW w:type="dxa" w:w="2160"/>
            <w:tcBorders>
              <w:top w:val="single" w:sz="4" w:color="D9D9D9"/>
              <w:bottom w:val="single" w:sz="4" w:color="D9D9D9"/>
              <w:left w:val="single" w:sz="4" w:color="D9D9D9"/>
              <w:right w:val="single" w:sz="4" w:color="D9D9D9"/>
            </w:tcBorders>
            <w:shd w:fill="FFFFFF"/>
          </w:tcPr>
          <w:p>
            <w:pPr>
              <w:spacing w:before="80" w:after="80"/>
            </w:pPr>
            <w:r>
              <w:rPr>
                <w:b w:val="0"/>
                <w:sz w:val="18"/>
              </w:rPr>
              <w:t>Competency</w:t>
            </w:r>
          </w:p>
        </w:tc>
        <w:tc>
          <w:tcPr>
            <w:tcW w:type="dxa" w:w="8064"/>
            <w:tcBorders>
              <w:top w:val="single" w:sz="4" w:color="D9D9D9"/>
              <w:bottom w:val="single" w:sz="4" w:color="D9D9D9"/>
              <w:left w:val="single" w:sz="4" w:color="D9D9D9"/>
              <w:right w:val="single" w:sz="4" w:color="D9D9D9"/>
            </w:tcBorders>
            <w:shd w:fill="FFFFFF"/>
          </w:tcPr>
          <w:p>
            <w:pPr>
              <w:spacing w:before="80" w:after="80"/>
            </w:pPr>
            <w:r>
              <w:rPr>
                <w:b w:val="0"/>
                <w:sz w:val="18"/>
              </w:rPr>
              <w:t>An area of skill demonstrated through behavior. A label such as Communication needs an example of what someone actually did.</w:t>
            </w:r>
          </w:p>
        </w:tc>
      </w:tr>
      <w:tr>
        <w:trPr>
          <w:cantSplit/>
        </w:trPr>
        <w:tc>
          <w:tcPr>
            <w:tcW w:type="dxa" w:w="2160"/>
            <w:tcBorders>
              <w:top w:val="single" w:sz="4" w:color="D9D9D9"/>
              <w:bottom w:val="single" w:sz="4" w:color="D9D9D9"/>
              <w:left w:val="single" w:sz="4" w:color="D9D9D9"/>
              <w:right w:val="single" w:sz="4" w:color="D9D9D9"/>
            </w:tcBorders>
            <w:shd w:fill="F5F5F5"/>
          </w:tcPr>
          <w:p>
            <w:pPr>
              <w:spacing w:before="80" w:after="80"/>
            </w:pPr>
            <w:r>
              <w:rPr>
                <w:b w:val="0"/>
                <w:sz w:val="18"/>
              </w:rPr>
              <w:t>Transferable skill</w:t>
            </w:r>
          </w:p>
        </w:tc>
        <w:tc>
          <w:tcPr>
            <w:tcW w:type="dxa" w:w="8064"/>
            <w:tcBorders>
              <w:top w:val="single" w:sz="4" w:color="D9D9D9"/>
              <w:bottom w:val="single" w:sz="4" w:color="D9D9D9"/>
              <w:left w:val="single" w:sz="4" w:color="D9D9D9"/>
              <w:right w:val="single" w:sz="4" w:color="D9D9D9"/>
            </w:tcBorders>
            <w:shd w:fill="F5F5F5"/>
          </w:tcPr>
          <w:p>
            <w:pPr>
              <w:spacing w:before="80" w:after="80"/>
            </w:pPr>
            <w:r>
              <w:rPr>
                <w:b w:val="0"/>
                <w:sz w:val="18"/>
              </w:rPr>
              <w:t>A skill you can apply in more than one setting. Checking understanding in a class team may also help in a workplace or graduate seminar.</w:t>
            </w:r>
          </w:p>
        </w:tc>
      </w:tr>
      <w:tr>
        <w:trPr>
          <w:cantSplit/>
        </w:trPr>
        <w:tc>
          <w:tcPr>
            <w:tcW w:type="dxa" w:w="2160"/>
            <w:tcBorders>
              <w:top w:val="single" w:sz="4" w:color="D9D9D9"/>
              <w:bottom w:val="single" w:sz="4" w:color="D9D9D9"/>
              <w:left w:val="single" w:sz="4" w:color="D9D9D9"/>
              <w:right w:val="single" w:sz="4" w:color="D9D9D9"/>
            </w:tcBorders>
            <w:shd w:fill="FFFFFF"/>
          </w:tcPr>
          <w:p>
            <w:pPr>
              <w:spacing w:before="80" w:after="80"/>
            </w:pPr>
            <w:r>
              <w:rPr>
                <w:b w:val="0"/>
                <w:sz w:val="18"/>
              </w:rPr>
              <w:t>Technical or disciplinary skill</w:t>
            </w:r>
          </w:p>
        </w:tc>
        <w:tc>
          <w:tcPr>
            <w:tcW w:type="dxa" w:w="8064"/>
            <w:tcBorders>
              <w:top w:val="single" w:sz="4" w:color="D9D9D9"/>
              <w:bottom w:val="single" w:sz="4" w:color="D9D9D9"/>
              <w:left w:val="single" w:sz="4" w:color="D9D9D9"/>
              <w:right w:val="single" w:sz="4" w:color="D9D9D9"/>
            </w:tcBorders>
            <w:shd w:fill="FFFFFF"/>
          </w:tcPr>
          <w:p>
            <w:pPr>
              <w:spacing w:before="80" w:after="80"/>
            </w:pPr>
            <w:r>
              <w:rPr>
                <w:b w:val="0"/>
                <w:sz w:val="18"/>
              </w:rPr>
              <w:t>Knowledge or a method specific to a field or task, such as a laboratory procedure or a language. It can accompany broader competencies; it is not replaced by them.</w:t>
            </w:r>
          </w:p>
        </w:tc>
      </w:tr>
      <w:tr>
        <w:trPr>
          <w:cantSplit/>
        </w:trPr>
        <w:tc>
          <w:tcPr>
            <w:tcW w:type="dxa" w:w="2160"/>
            <w:tcBorders>
              <w:top w:val="single" w:sz="4" w:color="D9D9D9"/>
              <w:bottom w:val="single" w:sz="4" w:color="D9D9D9"/>
              <w:left w:val="single" w:sz="4" w:color="D9D9D9"/>
              <w:right w:val="single" w:sz="4" w:color="D9D9D9"/>
            </w:tcBorders>
            <w:shd w:fill="F5F5F5"/>
          </w:tcPr>
          <w:p>
            <w:pPr>
              <w:spacing w:before="80" w:after="80"/>
            </w:pPr>
            <w:r>
              <w:rPr>
                <w:b w:val="0"/>
                <w:sz w:val="18"/>
              </w:rPr>
              <w:t>Reflection</w:t>
            </w:r>
          </w:p>
        </w:tc>
        <w:tc>
          <w:tcPr>
            <w:tcW w:type="dxa" w:w="8064"/>
            <w:tcBorders>
              <w:top w:val="single" w:sz="4" w:color="D9D9D9"/>
              <w:bottom w:val="single" w:sz="4" w:color="D9D9D9"/>
              <w:left w:val="single" w:sz="4" w:color="D9D9D9"/>
              <w:right w:val="single" w:sz="4" w:color="D9D9D9"/>
            </w:tcBorders>
            <w:shd w:fill="F5F5F5"/>
          </w:tcPr>
          <w:p>
            <w:pPr>
              <w:spacing w:before="80" w:after="80"/>
            </w:pPr>
            <w:r>
              <w:rPr>
                <w:b w:val="0"/>
                <w:sz w:val="18"/>
              </w:rPr>
              <w:t>Looking back at what happened, examining your actions and assumptions, and deciding what you learned or would change. It goes beyond listing tasks.</w:t>
            </w:r>
          </w:p>
        </w:tc>
      </w:tr>
      <w:tr>
        <w:trPr>
          <w:cantSplit/>
        </w:trPr>
        <w:tc>
          <w:tcPr>
            <w:tcW w:type="dxa" w:w="2160"/>
            <w:tcBorders>
              <w:top w:val="single" w:sz="4" w:color="D9D9D9"/>
              <w:bottom w:val="single" w:sz="4" w:color="D9D9D9"/>
              <w:left w:val="single" w:sz="4" w:color="D9D9D9"/>
              <w:right w:val="single" w:sz="4" w:color="D9D9D9"/>
            </w:tcBorders>
            <w:shd w:fill="FFFFFF"/>
          </w:tcPr>
          <w:p>
            <w:pPr>
              <w:spacing w:before="80" w:after="80"/>
            </w:pPr>
            <w:r>
              <w:rPr>
                <w:b w:val="0"/>
                <w:sz w:val="18"/>
              </w:rPr>
              <w:t>Behavioral evidence</w:t>
            </w:r>
          </w:p>
        </w:tc>
        <w:tc>
          <w:tcPr>
            <w:tcW w:type="dxa" w:w="8064"/>
            <w:tcBorders>
              <w:top w:val="single" w:sz="4" w:color="D9D9D9"/>
              <w:bottom w:val="single" w:sz="4" w:color="D9D9D9"/>
              <w:left w:val="single" w:sz="4" w:color="D9D9D9"/>
              <w:right w:val="single" w:sz="4" w:color="D9D9D9"/>
            </w:tcBorders>
            <w:shd w:fill="FFFFFF"/>
          </w:tcPr>
          <w:p>
            <w:pPr>
              <w:spacing w:before="80" w:after="80"/>
            </w:pPr>
            <w:r>
              <w:rPr>
                <w:b w:val="0"/>
                <w:sz w:val="18"/>
              </w:rPr>
              <w:t>A specific action and supporting detail: an observation, artifact, feedback, revision, or outcome. A title or attendance alone does not show the behavior.</w:t>
            </w:r>
          </w:p>
        </w:tc>
      </w:tr>
      <w:tr>
        <w:trPr>
          <w:cantSplit/>
        </w:trPr>
        <w:tc>
          <w:tcPr>
            <w:tcW w:type="dxa" w:w="2160"/>
            <w:tcBorders>
              <w:top w:val="single" w:sz="4" w:color="D9D9D9"/>
              <w:bottom w:val="single" w:sz="4" w:color="D9D9D9"/>
              <w:left w:val="single" w:sz="4" w:color="D9D9D9"/>
              <w:right w:val="single" w:sz="4" w:color="D9D9D9"/>
            </w:tcBorders>
            <w:shd w:fill="F5F5F5"/>
          </w:tcPr>
          <w:p>
            <w:pPr>
              <w:spacing w:before="80" w:after="80"/>
            </w:pPr>
            <w:r>
              <w:rPr>
                <w:b w:val="0"/>
                <w:sz w:val="18"/>
              </w:rPr>
              <w:t>Articulation</w:t>
            </w:r>
          </w:p>
        </w:tc>
        <w:tc>
          <w:tcPr>
            <w:tcW w:type="dxa" w:w="8064"/>
            <w:tcBorders>
              <w:top w:val="single" w:sz="4" w:color="D9D9D9"/>
              <w:bottom w:val="single" w:sz="4" w:color="D9D9D9"/>
              <w:left w:val="single" w:sz="4" w:color="D9D9D9"/>
              <w:right w:val="single" w:sz="4" w:color="D9D9D9"/>
            </w:tcBorders>
            <w:shd w:fill="F5F5F5"/>
          </w:tcPr>
          <w:p>
            <w:pPr>
              <w:spacing w:before="80" w:after="80"/>
            </w:pPr>
            <w:r>
              <w:rPr>
                <w:b w:val="0"/>
                <w:sz w:val="18"/>
              </w:rPr>
              <w:t>Explaining the connection in words another person can understand. The listener needs context, your action, what happened or what you learned, and why it matters to them.</w:t>
            </w:r>
          </w:p>
        </w:tc>
      </w:tr>
    </w:tbl>
    <w:p>
      <w:pPr>
        <w:pStyle w:val="Heading2"/>
      </w:pPr>
      <w:r>
        <w:t>A simple example you can teach</w:t>
      </w:r>
    </w:p>
    <w:p>
      <w:pPr>
        <w:spacing w:after="100"/>
      </w:pPr>
      <w:r>
        <w:t>“I am good at teamwork” is a claim. “I negotiated roles when two teammates had overlapping tasks, checked the revised plan with them, and completed my part” gives behavioral evidence. Ask what happened next to strengthen it further. Do not tell students they need an award, publication, or numerical improvement for their experience to count.</w:t>
      </w:r>
    </w:p>
    <w:p>
      <w:pPr>
        <w:pStyle w:val="Heading2"/>
      </w:pPr>
      <w:r>
        <w:t>Terminology for this lesson</w:t>
      </w:r>
    </w:p>
    <w:p>
      <w:pPr>
        <w:spacing w:after="100"/>
      </w:pPr>
      <w:r>
        <w:t>Teach Equity &amp; Inclusion as the NACE competency name, as requested for these materials. CES’s Becoming Career Ready article currently uses Fairness &amp; Collaborative Learning, while Roadmap &amp; Frameworks uses Equity &amp; Inclusion. These pages use different labels; do not describe the CES alternative as NACE’s official name. NACE currently marks Equity &amp; Inclusion as under review. The examples in this guide are teaching paraphrases, not verbatim definitions.</w:t>
      </w:r>
    </w:p>
    <w:p>
      <w:pPr>
        <w:pStyle w:val="Heading1"/>
        <w:pageBreakBefore/>
      </w:pPr>
      <w:r>
        <w:t>Teaching the eight competencies</w:t>
      </w:r>
    </w:p>
    <w:p>
      <w:pPr>
        <w:spacing w:after="100"/>
      </w:pPr>
      <w:r>
        <w:t>Use the explanations below during minutes 5–12. Read the meaning in your own words and give a short example. The examples are illustrative possibilities in this experience type; they are not claims that every student or the shared case demonstrates all eight.</w:t>
      </w:r>
    </w:p>
    <w:tbl>
      <w:tblPr>
        <w:tblW w:type="auto" w:w="0"/>
        <w:tblLayout w:type="fixed"/>
        <w:tblLook w:firstColumn="1" w:firstRow="1" w:lastColumn="0" w:lastRow="0" w:noHBand="0" w:noVBand="1" w:val="04A0"/>
      </w:tblPr>
      <w:tblGrid>
        <w:gridCol w:w="2088"/>
        <w:gridCol w:w="3816"/>
        <w:gridCol w:w="4320"/>
      </w:tblGrid>
      <w:tr>
        <w:trPr>
          <w:cantSplit/>
          <w:tblHeader/>
        </w:trPr>
        <w:tc>
          <w:tcPr>
            <w:tcW w:type="dxa" w:w="2088"/>
            <w:tcBorders>
              <w:top w:val="single" w:sz="4" w:color="D9D9D9"/>
              <w:bottom w:val="single" w:sz="4" w:color="D9D9D9"/>
              <w:left w:val="single" w:sz="4" w:color="D9D9D9"/>
              <w:right w:val="single" w:sz="4" w:color="D9D9D9"/>
            </w:tcBorders>
            <w:shd w:fill="E6EBEE"/>
          </w:tcPr>
          <w:p>
            <w:pPr>
              <w:spacing w:before="80" w:after="80"/>
            </w:pPr>
            <w:r>
              <w:rPr>
                <w:b/>
                <w:sz w:val="18"/>
              </w:rPr>
              <w:t>Competency</w:t>
            </w:r>
          </w:p>
        </w:tc>
        <w:tc>
          <w:tcPr>
            <w:tcW w:type="dxa" w:w="3816"/>
            <w:tcBorders>
              <w:top w:val="single" w:sz="4" w:color="D9D9D9"/>
              <w:bottom w:val="single" w:sz="4" w:color="D9D9D9"/>
              <w:left w:val="single" w:sz="4" w:color="D9D9D9"/>
              <w:right w:val="single" w:sz="4" w:color="D9D9D9"/>
            </w:tcBorders>
            <w:shd w:fill="E6EBEE"/>
          </w:tcPr>
          <w:p>
            <w:pPr>
              <w:spacing w:before="80" w:after="80"/>
            </w:pPr>
            <w:r>
              <w:rPr>
                <w:b/>
                <w:sz w:val="18"/>
              </w:rPr>
              <w:t>Meaning to explain</w:t>
            </w:r>
          </w:p>
        </w:tc>
        <w:tc>
          <w:tcPr>
            <w:tcW w:type="dxa" w:w="4320"/>
            <w:tcBorders>
              <w:top w:val="single" w:sz="4" w:color="D9D9D9"/>
              <w:bottom w:val="single" w:sz="4" w:color="D9D9D9"/>
              <w:left w:val="single" w:sz="4" w:color="D9D9D9"/>
              <w:right w:val="single" w:sz="4" w:color="D9D9D9"/>
            </w:tcBorders>
            <w:shd w:fill="E6EBEE"/>
          </w:tcPr>
          <w:p>
            <w:pPr>
              <w:spacing w:before="80" w:after="80"/>
            </w:pPr>
            <w:r>
              <w:rPr>
                <w:b/>
                <w:sz w:val="18"/>
              </w:rPr>
              <w:t>Example in this setting</w:t>
            </w:r>
          </w:p>
        </w:tc>
      </w:tr>
      <w:tr>
        <w:trPr>
          <w:cantSplit/>
        </w:trPr>
        <w:tc>
          <w:tcPr>
            <w:tcW w:type="dxa" w:w="2088"/>
            <w:tcBorders>
              <w:top w:val="single" w:sz="4" w:color="D9D9D9"/>
              <w:bottom w:val="single" w:sz="4" w:color="D9D9D9"/>
              <w:left w:val="single" w:sz="4" w:color="D9D9D9"/>
              <w:right w:val="single" w:sz="4" w:color="D9D9D9"/>
            </w:tcBorders>
            <w:shd w:fill="FFFFFF"/>
          </w:tcPr>
          <w:p>
            <w:pPr>
              <w:spacing w:before="80" w:after="80"/>
            </w:pPr>
            <w:r>
              <w:rPr>
                <w:b w:val="0"/>
                <w:sz w:val="18"/>
              </w:rPr>
              <w:t>Career and Self-Development</w:t>
            </w:r>
          </w:p>
        </w:tc>
        <w:tc>
          <w:tcPr>
            <w:tcW w:type="dxa" w:w="3816"/>
            <w:tcBorders>
              <w:top w:val="single" w:sz="4" w:color="D9D9D9"/>
              <w:bottom w:val="single" w:sz="4" w:color="D9D9D9"/>
              <w:left w:val="single" w:sz="4" w:color="D9D9D9"/>
              <w:right w:val="single" w:sz="4" w:color="D9D9D9"/>
            </w:tcBorders>
            <w:shd w:fill="FFFFFF"/>
          </w:tcPr>
          <w:p>
            <w:pPr>
              <w:spacing w:before="80" w:after="80"/>
            </w:pPr>
            <w:r>
              <w:rPr>
                <w:b w:val="0"/>
                <w:sz w:val="18"/>
              </w:rPr>
              <w:t>Direct your learning and career growth through self-awareness, feedback, goals, and relationships.</w:t>
            </w:r>
          </w:p>
        </w:tc>
        <w:tc>
          <w:tcPr>
            <w:tcW w:type="dxa" w:w="4320"/>
            <w:tcBorders>
              <w:top w:val="single" w:sz="4" w:color="D9D9D9"/>
              <w:bottom w:val="single" w:sz="4" w:color="D9D9D9"/>
              <w:left w:val="single" w:sz="4" w:color="D9D9D9"/>
              <w:right w:val="single" w:sz="4" w:color="D9D9D9"/>
            </w:tcBorders>
            <w:shd w:fill="FFFFFF"/>
          </w:tcPr>
          <w:p>
            <w:pPr>
              <w:spacing w:before="80" w:after="80"/>
            </w:pPr>
            <w:r>
              <w:rPr>
                <w:b w:val="0"/>
                <w:sz w:val="18"/>
              </w:rPr>
              <w:t>Seek feedback on your facilitation and set a development goal.</w:t>
            </w:r>
          </w:p>
        </w:tc>
      </w:tr>
      <w:tr>
        <w:trPr>
          <w:cantSplit/>
        </w:trPr>
        <w:tc>
          <w:tcPr>
            <w:tcW w:type="dxa" w:w="2088"/>
            <w:tcBorders>
              <w:top w:val="single" w:sz="4" w:color="D9D9D9"/>
              <w:bottom w:val="single" w:sz="4" w:color="D9D9D9"/>
              <w:left w:val="single" w:sz="4" w:color="D9D9D9"/>
              <w:right w:val="single" w:sz="4" w:color="D9D9D9"/>
            </w:tcBorders>
            <w:shd w:fill="F5F5F5"/>
          </w:tcPr>
          <w:p>
            <w:pPr>
              <w:spacing w:before="80" w:after="80"/>
            </w:pPr>
            <w:r>
              <w:rPr>
                <w:b w:val="0"/>
                <w:sz w:val="18"/>
              </w:rPr>
              <w:t>Communication</w:t>
            </w:r>
          </w:p>
        </w:tc>
        <w:tc>
          <w:tcPr>
            <w:tcW w:type="dxa" w:w="3816"/>
            <w:tcBorders>
              <w:top w:val="single" w:sz="4" w:color="D9D9D9"/>
              <w:bottom w:val="single" w:sz="4" w:color="D9D9D9"/>
              <w:left w:val="single" w:sz="4" w:color="D9D9D9"/>
              <w:right w:val="single" w:sz="4" w:color="D9D9D9"/>
            </w:tcBorders>
            <w:shd w:fill="F5F5F5"/>
          </w:tcPr>
          <w:p>
            <w:pPr>
              <w:spacing w:before="80" w:after="80"/>
            </w:pPr>
            <w:r>
              <w:rPr>
                <w:b w:val="0"/>
                <w:sz w:val="18"/>
              </w:rPr>
              <w:t>Exchange ideas clearly, listen actively, ask questions, and adapt to the audience.</w:t>
            </w:r>
          </w:p>
        </w:tc>
        <w:tc>
          <w:tcPr>
            <w:tcW w:type="dxa" w:w="4320"/>
            <w:tcBorders>
              <w:top w:val="single" w:sz="4" w:color="D9D9D9"/>
              <w:bottom w:val="single" w:sz="4" w:color="D9D9D9"/>
              <w:left w:val="single" w:sz="4" w:color="D9D9D9"/>
              <w:right w:val="single" w:sz="4" w:color="D9D9D9"/>
            </w:tcBorders>
            <w:shd w:fill="F5F5F5"/>
          </w:tcPr>
          <w:p>
            <w:pPr>
              <w:spacing w:before="80" w:after="80"/>
            </w:pPr>
            <w:r>
              <w:rPr>
                <w:b w:val="0"/>
                <w:sz w:val="18"/>
              </w:rPr>
              <w:t>Explain an event change clearly to members and partners.</w:t>
            </w:r>
          </w:p>
        </w:tc>
      </w:tr>
      <w:tr>
        <w:trPr>
          <w:cantSplit/>
        </w:trPr>
        <w:tc>
          <w:tcPr>
            <w:tcW w:type="dxa" w:w="2088"/>
            <w:tcBorders>
              <w:top w:val="single" w:sz="4" w:color="D9D9D9"/>
              <w:bottom w:val="single" w:sz="4" w:color="D9D9D9"/>
              <w:left w:val="single" w:sz="4" w:color="D9D9D9"/>
              <w:right w:val="single" w:sz="4" w:color="D9D9D9"/>
            </w:tcBorders>
            <w:shd w:fill="FFFFFF"/>
          </w:tcPr>
          <w:p>
            <w:pPr>
              <w:spacing w:before="80" w:after="80"/>
            </w:pPr>
            <w:r>
              <w:rPr>
                <w:b w:val="0"/>
                <w:sz w:val="18"/>
              </w:rPr>
              <w:t>Critical Thinking</w:t>
            </w:r>
          </w:p>
        </w:tc>
        <w:tc>
          <w:tcPr>
            <w:tcW w:type="dxa" w:w="3816"/>
            <w:tcBorders>
              <w:top w:val="single" w:sz="4" w:color="D9D9D9"/>
              <w:bottom w:val="single" w:sz="4" w:color="D9D9D9"/>
              <w:left w:val="single" w:sz="4" w:color="D9D9D9"/>
              <w:right w:val="single" w:sz="4" w:color="D9D9D9"/>
            </w:tcBorders>
            <w:shd w:fill="FFFFFF"/>
          </w:tcPr>
          <w:p>
            <w:pPr>
              <w:spacing w:before="80" w:after="80"/>
            </w:pPr>
            <w:r>
              <w:rPr>
                <w:b w:val="0"/>
                <w:sz w:val="18"/>
              </w:rPr>
              <w:t>Understand context, examine information and assumptions, and explain a reasoned response.</w:t>
            </w:r>
          </w:p>
        </w:tc>
        <w:tc>
          <w:tcPr>
            <w:tcW w:type="dxa" w:w="4320"/>
            <w:tcBorders>
              <w:top w:val="single" w:sz="4" w:color="D9D9D9"/>
              <w:bottom w:val="single" w:sz="4" w:color="D9D9D9"/>
              <w:left w:val="single" w:sz="4" w:color="D9D9D9"/>
              <w:right w:val="single" w:sz="4" w:color="D9D9D9"/>
            </w:tcBorders>
            <w:shd w:fill="FFFFFF"/>
          </w:tcPr>
          <w:p>
            <w:pPr>
              <w:spacing w:before="80" w:after="80"/>
            </w:pPr>
            <w:r>
              <w:rPr>
                <w:b w:val="0"/>
                <w:sz w:val="18"/>
              </w:rPr>
              <w:t>Compare options when a program plan no longer works.</w:t>
            </w:r>
          </w:p>
        </w:tc>
      </w:tr>
      <w:tr>
        <w:trPr>
          <w:cantSplit/>
        </w:trPr>
        <w:tc>
          <w:tcPr>
            <w:tcW w:type="dxa" w:w="2088"/>
            <w:tcBorders>
              <w:top w:val="single" w:sz="4" w:color="D9D9D9"/>
              <w:bottom w:val="single" w:sz="4" w:color="D9D9D9"/>
              <w:left w:val="single" w:sz="4" w:color="D9D9D9"/>
              <w:right w:val="single" w:sz="4" w:color="D9D9D9"/>
            </w:tcBorders>
            <w:shd w:fill="F5F5F5"/>
          </w:tcPr>
          <w:p>
            <w:pPr>
              <w:spacing w:before="80" w:after="80"/>
            </w:pPr>
            <w:r>
              <w:rPr>
                <w:b w:val="0"/>
                <w:sz w:val="18"/>
              </w:rPr>
              <w:t>Equity &amp; Inclusion</w:t>
            </w:r>
          </w:p>
        </w:tc>
        <w:tc>
          <w:tcPr>
            <w:tcW w:type="dxa" w:w="3816"/>
            <w:tcBorders>
              <w:top w:val="single" w:sz="4" w:color="D9D9D9"/>
              <w:bottom w:val="single" w:sz="4" w:color="D9D9D9"/>
              <w:left w:val="single" w:sz="4" w:color="D9D9D9"/>
              <w:right w:val="single" w:sz="4" w:color="D9D9D9"/>
            </w:tcBorders>
            <w:shd w:fill="F5F5F5"/>
          </w:tcPr>
          <w:p>
            <w:pPr>
              <w:spacing w:before="80" w:after="80"/>
            </w:pPr>
            <w:r>
              <w:rPr>
                <w:b w:val="0"/>
                <w:sz w:val="18"/>
              </w:rPr>
              <w:t>Include varied perspectives and challenge exclusion, inequity, bias, and systemic barriers.</w:t>
            </w:r>
          </w:p>
        </w:tc>
        <w:tc>
          <w:tcPr>
            <w:tcW w:type="dxa" w:w="4320"/>
            <w:tcBorders>
              <w:top w:val="single" w:sz="4" w:color="D9D9D9"/>
              <w:bottom w:val="single" w:sz="4" w:color="D9D9D9"/>
              <w:left w:val="single" w:sz="4" w:color="D9D9D9"/>
              <w:right w:val="single" w:sz="4" w:color="D9D9D9"/>
            </w:tcBorders>
            <w:shd w:fill="F5F5F5"/>
          </w:tcPr>
          <w:p>
            <w:pPr>
              <w:spacing w:before="80" w:after="80"/>
            </w:pPr>
            <w:r>
              <w:rPr>
                <w:b w:val="0"/>
                <w:sz w:val="18"/>
              </w:rPr>
              <w:t>Identify a participation barrier and work with people affected to address it.</w:t>
            </w:r>
          </w:p>
        </w:tc>
      </w:tr>
      <w:tr>
        <w:trPr>
          <w:cantSplit/>
        </w:trPr>
        <w:tc>
          <w:tcPr>
            <w:tcW w:type="dxa" w:w="2088"/>
            <w:tcBorders>
              <w:top w:val="single" w:sz="4" w:color="D9D9D9"/>
              <w:bottom w:val="single" w:sz="4" w:color="D9D9D9"/>
              <w:left w:val="single" w:sz="4" w:color="D9D9D9"/>
              <w:right w:val="single" w:sz="4" w:color="D9D9D9"/>
            </w:tcBorders>
            <w:shd w:fill="FFFFFF"/>
          </w:tcPr>
          <w:p>
            <w:pPr>
              <w:spacing w:before="80" w:after="80"/>
            </w:pPr>
            <w:r>
              <w:rPr>
                <w:b w:val="0"/>
                <w:sz w:val="18"/>
              </w:rPr>
              <w:t>Leadership</w:t>
            </w:r>
          </w:p>
        </w:tc>
        <w:tc>
          <w:tcPr>
            <w:tcW w:type="dxa" w:w="3816"/>
            <w:tcBorders>
              <w:top w:val="single" w:sz="4" w:color="D9D9D9"/>
              <w:bottom w:val="single" w:sz="4" w:color="D9D9D9"/>
              <w:left w:val="single" w:sz="4" w:color="D9D9D9"/>
              <w:right w:val="single" w:sz="4" w:color="D9D9D9"/>
            </w:tcBorders>
            <w:shd w:fill="FFFFFF"/>
          </w:tcPr>
          <w:p>
            <w:pPr>
              <w:spacing w:before="80" w:after="80"/>
            </w:pPr>
            <w:r>
              <w:rPr>
                <w:b w:val="0"/>
                <w:sz w:val="18"/>
              </w:rPr>
              <w:t>Mobilize personal and collective strengths toward a shared purpose.</w:t>
            </w:r>
          </w:p>
        </w:tc>
        <w:tc>
          <w:tcPr>
            <w:tcW w:type="dxa" w:w="4320"/>
            <w:tcBorders>
              <w:top w:val="single" w:sz="4" w:color="D9D9D9"/>
              <w:bottom w:val="single" w:sz="4" w:color="D9D9D9"/>
              <w:left w:val="single" w:sz="4" w:color="D9D9D9"/>
              <w:right w:val="single" w:sz="4" w:color="D9D9D9"/>
            </w:tcBorders>
            <w:shd w:fill="FFFFFF"/>
          </w:tcPr>
          <w:p>
            <w:pPr>
              <w:spacing w:before="80" w:after="80"/>
            </w:pPr>
            <w:r>
              <w:rPr>
                <w:b w:val="0"/>
                <w:sz w:val="18"/>
              </w:rPr>
              <w:t>Help members use their strengths toward an organization goal.</w:t>
            </w:r>
          </w:p>
        </w:tc>
      </w:tr>
      <w:tr>
        <w:trPr>
          <w:cantSplit/>
        </w:trPr>
        <w:tc>
          <w:tcPr>
            <w:tcW w:type="dxa" w:w="2088"/>
            <w:tcBorders>
              <w:top w:val="single" w:sz="4" w:color="D9D9D9"/>
              <w:bottom w:val="single" w:sz="4" w:color="D9D9D9"/>
              <w:left w:val="single" w:sz="4" w:color="D9D9D9"/>
              <w:right w:val="single" w:sz="4" w:color="D9D9D9"/>
            </w:tcBorders>
            <w:shd w:fill="F5F5F5"/>
          </w:tcPr>
          <w:p>
            <w:pPr>
              <w:spacing w:before="80" w:after="80"/>
            </w:pPr>
            <w:r>
              <w:rPr>
                <w:b w:val="0"/>
                <w:sz w:val="18"/>
              </w:rPr>
              <w:t>Professionalism</w:t>
            </w:r>
          </w:p>
        </w:tc>
        <w:tc>
          <w:tcPr>
            <w:tcW w:type="dxa" w:w="3816"/>
            <w:tcBorders>
              <w:top w:val="single" w:sz="4" w:color="D9D9D9"/>
              <w:bottom w:val="single" w:sz="4" w:color="D9D9D9"/>
              <w:left w:val="single" w:sz="4" w:color="D9D9D9"/>
              <w:right w:val="single" w:sz="4" w:color="D9D9D9"/>
            </w:tcBorders>
            <w:shd w:fill="F5F5F5"/>
          </w:tcPr>
          <w:p>
            <w:pPr>
              <w:spacing w:before="80" w:after="80"/>
            </w:pPr>
            <w:r>
              <w:rPr>
                <w:b w:val="0"/>
                <w:sz w:val="18"/>
              </w:rPr>
              <w:t>Show integrity, preparedness, accountability, and dependable work suited to the setting.</w:t>
            </w:r>
          </w:p>
        </w:tc>
        <w:tc>
          <w:tcPr>
            <w:tcW w:type="dxa" w:w="4320"/>
            <w:tcBorders>
              <w:top w:val="single" w:sz="4" w:color="D9D9D9"/>
              <w:bottom w:val="single" w:sz="4" w:color="D9D9D9"/>
              <w:left w:val="single" w:sz="4" w:color="D9D9D9"/>
              <w:right w:val="single" w:sz="4" w:color="D9D9D9"/>
            </w:tcBorders>
            <w:shd w:fill="F5F5F5"/>
          </w:tcPr>
          <w:p>
            <w:pPr>
              <w:spacing w:before="80" w:after="80"/>
            </w:pPr>
            <w:r>
              <w:rPr>
                <w:b w:val="0"/>
                <w:sz w:val="18"/>
              </w:rPr>
              <w:t>Follow through on commitments and manage information responsibly.</w:t>
            </w:r>
          </w:p>
        </w:tc>
      </w:tr>
      <w:tr>
        <w:trPr>
          <w:cantSplit/>
        </w:trPr>
        <w:tc>
          <w:tcPr>
            <w:tcW w:type="dxa" w:w="2088"/>
            <w:tcBorders>
              <w:top w:val="single" w:sz="4" w:color="D9D9D9"/>
              <w:bottom w:val="single" w:sz="4" w:color="D9D9D9"/>
              <w:left w:val="single" w:sz="4" w:color="D9D9D9"/>
              <w:right w:val="single" w:sz="4" w:color="D9D9D9"/>
            </w:tcBorders>
            <w:shd w:fill="FFFFFF"/>
          </w:tcPr>
          <w:p>
            <w:pPr>
              <w:spacing w:before="80" w:after="80"/>
            </w:pPr>
            <w:r>
              <w:rPr>
                <w:b w:val="0"/>
                <w:sz w:val="18"/>
              </w:rPr>
              <w:t>Teamwork</w:t>
            </w:r>
          </w:p>
        </w:tc>
        <w:tc>
          <w:tcPr>
            <w:tcW w:type="dxa" w:w="3816"/>
            <w:tcBorders>
              <w:top w:val="single" w:sz="4" w:color="D9D9D9"/>
              <w:bottom w:val="single" w:sz="4" w:color="D9D9D9"/>
              <w:left w:val="single" w:sz="4" w:color="D9D9D9"/>
              <w:right w:val="single" w:sz="4" w:color="D9D9D9"/>
            </w:tcBorders>
            <w:shd w:fill="FFFFFF"/>
          </w:tcPr>
          <w:p>
            <w:pPr>
              <w:spacing w:before="80" w:after="80"/>
            </w:pPr>
            <w:r>
              <w:rPr>
                <w:b w:val="0"/>
                <w:sz w:val="18"/>
              </w:rPr>
              <w:t>Sustain collaboration through shared responsibility, listening, compromise, and constructive conflict management.</w:t>
            </w:r>
          </w:p>
        </w:tc>
        <w:tc>
          <w:tcPr>
            <w:tcW w:type="dxa" w:w="4320"/>
            <w:tcBorders>
              <w:top w:val="single" w:sz="4" w:color="D9D9D9"/>
              <w:bottom w:val="single" w:sz="4" w:color="D9D9D9"/>
              <w:left w:val="single" w:sz="4" w:color="D9D9D9"/>
              <w:right w:val="single" w:sz="4" w:color="D9D9D9"/>
            </w:tcBorders>
            <w:shd w:fill="FFFFFF"/>
          </w:tcPr>
          <w:p>
            <w:pPr>
              <w:spacing w:before="80" w:after="80"/>
            </w:pPr>
            <w:r>
              <w:rPr>
                <w:b w:val="0"/>
                <w:sz w:val="18"/>
              </w:rPr>
              <w:t>Coordinate with committee members and share responsibility.</w:t>
            </w:r>
          </w:p>
        </w:tc>
      </w:tr>
      <w:tr>
        <w:trPr>
          <w:cantSplit/>
        </w:trPr>
        <w:tc>
          <w:tcPr>
            <w:tcW w:type="dxa" w:w="2088"/>
            <w:tcBorders>
              <w:top w:val="single" w:sz="4" w:color="D9D9D9"/>
              <w:bottom w:val="single" w:sz="4" w:color="D9D9D9"/>
              <w:left w:val="single" w:sz="4" w:color="D9D9D9"/>
              <w:right w:val="single" w:sz="4" w:color="D9D9D9"/>
            </w:tcBorders>
            <w:shd w:fill="F5F5F5"/>
          </w:tcPr>
          <w:p>
            <w:pPr>
              <w:spacing w:before="80" w:after="80"/>
            </w:pPr>
            <w:r>
              <w:rPr>
                <w:b w:val="0"/>
                <w:sz w:val="18"/>
              </w:rPr>
              <w:t>Technology</w:t>
            </w:r>
          </w:p>
        </w:tc>
        <w:tc>
          <w:tcPr>
            <w:tcW w:type="dxa" w:w="3816"/>
            <w:tcBorders>
              <w:top w:val="single" w:sz="4" w:color="D9D9D9"/>
              <w:bottom w:val="single" w:sz="4" w:color="D9D9D9"/>
              <w:left w:val="single" w:sz="4" w:color="D9D9D9"/>
              <w:right w:val="single" w:sz="4" w:color="D9D9D9"/>
            </w:tcBorders>
            <w:shd w:fill="F5F5F5"/>
          </w:tcPr>
          <w:p>
            <w:pPr>
              <w:spacing w:before="80" w:after="80"/>
            </w:pPr>
            <w:r>
              <w:rPr>
                <w:b w:val="0"/>
                <w:sz w:val="18"/>
              </w:rPr>
              <w:t>Select, learn, and use technology ethically to improve work and decisions.</w:t>
            </w:r>
          </w:p>
        </w:tc>
        <w:tc>
          <w:tcPr>
            <w:tcW w:type="dxa" w:w="4320"/>
            <w:tcBorders>
              <w:top w:val="single" w:sz="4" w:color="D9D9D9"/>
              <w:bottom w:val="single" w:sz="4" w:color="D9D9D9"/>
              <w:left w:val="single" w:sz="4" w:color="D9D9D9"/>
              <w:right w:val="single" w:sz="4" w:color="D9D9D9"/>
            </w:tcBorders>
            <w:shd w:fill="F5F5F5"/>
          </w:tcPr>
          <w:p>
            <w:pPr>
              <w:spacing w:before="80" w:after="80"/>
            </w:pPr>
            <w:r>
              <w:rPr>
                <w:b w:val="0"/>
                <w:sz w:val="18"/>
              </w:rPr>
              <w:t>Use a suitable registration or communication tool and protect information.</w:t>
            </w:r>
          </w:p>
        </w:tc>
      </w:tr>
    </w:tbl>
    <w:p>
      <w:pPr>
        <w:pStyle w:val="Heading2"/>
      </w:pPr>
      <w:r>
        <w:t>Two distinctions to explain</w:t>
      </w:r>
    </w:p>
    <w:p>
      <w:pPr>
        <w:spacing w:after="100"/>
      </w:pPr>
      <w:r>
        <w:t>Leadership helps shape the direction and conditions of shared work; Teamwork describes contributing and collaborating within it. One action may support both if the explanation is convincing. Technology means using tools thoughtfully and responsibly, not simply owning a device or naming software.</w:t>
      </w:r>
    </w:p>
    <w:p>
      <w:pPr>
        <w:pStyle w:val="Heading2"/>
      </w:pPr>
      <w:r>
        <w:t>What to say about academic learning</w:t>
      </w:r>
    </w:p>
    <w:p>
      <w:pPr>
        <w:spacing w:after="100"/>
      </w:pPr>
      <w:r>
        <w:t>“You are not replacing the learning goals of your course or experience with job preparation. You are noticing the thinking, inquiry, collaboration, and other abilities your learning requires, then deciding how to explain those abilities to someone else.”</w:t>
      </w:r>
    </w:p>
    <w:p>
      <w:pPr>
        <w:pStyle w:val="Heading1"/>
        <w:pageBreakBefore/>
      </w:pPr>
      <w:r>
        <w:t>Use NACE behaviors to evaluate evidence</w:t>
      </w:r>
    </w:p>
    <w:p>
      <w:pPr>
        <w:spacing w:after="100"/>
      </w:pPr>
      <w:r>
        <w:t>Read NACE’s official definitions and sample behaviors before teaching: https://www.naceweb.org/career-readiness/competencies/career-readiness-defined. The summaries, examples, and coaching questions here are teaching adaptations. Use the official page as the reference when a connection is uncertain.</w:t>
      </w:r>
    </w:p>
    <w:p>
      <w:pPr>
        <w:pStyle w:val="Heading2"/>
      </w:pPr>
      <w:r>
        <w:t>Questions that move from a label to evidence</w:t>
      </w:r>
    </w:p>
    <w:tbl>
      <w:tblPr>
        <w:tblW w:type="auto" w:w="0"/>
        <w:tblLayout w:type="fixed"/>
        <w:tblLook w:firstColumn="1" w:firstRow="1" w:lastColumn="0" w:lastRow="0" w:noHBand="0" w:noVBand="1" w:val="04A0"/>
      </w:tblPr>
      <w:tblGrid>
        <w:gridCol w:w="2592"/>
        <w:gridCol w:w="7632"/>
      </w:tblGrid>
      <w:tr>
        <w:trPr>
          <w:cantSplit/>
          <w:tblHeader/>
        </w:trPr>
        <w:tc>
          <w:tcPr>
            <w:tcW w:type="dxa" w:w="2592"/>
            <w:tcBorders>
              <w:top w:val="single" w:sz="4" w:color="D9D9D9"/>
              <w:bottom w:val="single" w:sz="4" w:color="D9D9D9"/>
              <w:left w:val="single" w:sz="4" w:color="D9D9D9"/>
              <w:right w:val="single" w:sz="4" w:color="D9D9D9"/>
            </w:tcBorders>
            <w:shd w:fill="E6EBEE"/>
          </w:tcPr>
          <w:p>
            <w:pPr>
              <w:spacing w:before="80" w:after="80"/>
            </w:pPr>
            <w:r>
              <w:rPr>
                <w:b/>
                <w:sz w:val="18"/>
              </w:rPr>
              <w:t>Competency</w:t>
            </w:r>
          </w:p>
        </w:tc>
        <w:tc>
          <w:tcPr>
            <w:tcW w:type="dxa" w:w="7632"/>
            <w:tcBorders>
              <w:top w:val="single" w:sz="4" w:color="D9D9D9"/>
              <w:bottom w:val="single" w:sz="4" w:color="D9D9D9"/>
              <w:left w:val="single" w:sz="4" w:color="D9D9D9"/>
              <w:right w:val="single" w:sz="4" w:color="D9D9D9"/>
            </w:tcBorders>
            <w:shd w:fill="E6EBEE"/>
          </w:tcPr>
          <w:p>
            <w:pPr>
              <w:spacing w:before="80" w:after="80"/>
            </w:pPr>
            <w:r>
              <w:rPr>
                <w:b/>
                <w:sz w:val="18"/>
              </w:rPr>
              <w:t>Coaching question</w:t>
            </w:r>
          </w:p>
        </w:tc>
      </w:tr>
      <w:tr>
        <w:trPr>
          <w:cantSplit/>
        </w:trPr>
        <w:tc>
          <w:tcPr>
            <w:tcW w:type="dxa" w:w="2592"/>
            <w:tcBorders>
              <w:top w:val="single" w:sz="4" w:color="D9D9D9"/>
              <w:bottom w:val="single" w:sz="4" w:color="D9D9D9"/>
              <w:left w:val="single" w:sz="4" w:color="D9D9D9"/>
              <w:right w:val="single" w:sz="4" w:color="D9D9D9"/>
            </w:tcBorders>
            <w:shd w:fill="FFFFFF"/>
          </w:tcPr>
          <w:p>
            <w:pPr>
              <w:spacing w:before="80" w:after="80"/>
            </w:pPr>
            <w:r>
              <w:rPr>
                <w:b w:val="0"/>
                <w:sz w:val="18"/>
              </w:rPr>
              <w:t>Career and Self-Development</w:t>
            </w:r>
          </w:p>
        </w:tc>
        <w:tc>
          <w:tcPr>
            <w:tcW w:type="dxa" w:w="7632"/>
            <w:tcBorders>
              <w:top w:val="single" w:sz="4" w:color="D9D9D9"/>
              <w:bottom w:val="single" w:sz="4" w:color="D9D9D9"/>
              <w:left w:val="single" w:sz="4" w:color="D9D9D9"/>
              <w:right w:val="single" w:sz="4" w:color="D9D9D9"/>
            </w:tcBorders>
            <w:shd w:fill="FFFFFF"/>
          </w:tcPr>
          <w:p>
            <w:pPr>
              <w:spacing w:before="80" w:after="80"/>
            </w:pPr>
            <w:r>
              <w:rPr>
                <w:b w:val="0"/>
                <w:sz w:val="18"/>
              </w:rPr>
              <w:t>What feedback did you seek and apply? What growth opportunity did you pursue?</w:t>
            </w:r>
          </w:p>
        </w:tc>
      </w:tr>
      <w:tr>
        <w:trPr>
          <w:cantSplit/>
        </w:trPr>
        <w:tc>
          <w:tcPr>
            <w:tcW w:type="dxa" w:w="2592"/>
            <w:tcBorders>
              <w:top w:val="single" w:sz="4" w:color="D9D9D9"/>
              <w:bottom w:val="single" w:sz="4" w:color="D9D9D9"/>
              <w:left w:val="single" w:sz="4" w:color="D9D9D9"/>
              <w:right w:val="single" w:sz="4" w:color="D9D9D9"/>
            </w:tcBorders>
            <w:shd w:fill="F5F5F5"/>
          </w:tcPr>
          <w:p>
            <w:pPr>
              <w:spacing w:before="80" w:after="80"/>
            </w:pPr>
            <w:r>
              <w:rPr>
                <w:b w:val="0"/>
                <w:sz w:val="18"/>
              </w:rPr>
              <w:t>Communication</w:t>
            </w:r>
          </w:p>
        </w:tc>
        <w:tc>
          <w:tcPr>
            <w:tcW w:type="dxa" w:w="7632"/>
            <w:tcBorders>
              <w:top w:val="single" w:sz="4" w:color="D9D9D9"/>
              <w:bottom w:val="single" w:sz="4" w:color="D9D9D9"/>
              <w:left w:val="single" w:sz="4" w:color="D9D9D9"/>
              <w:right w:val="single" w:sz="4" w:color="D9D9D9"/>
            </w:tcBorders>
            <w:shd w:fill="F5F5F5"/>
          </w:tcPr>
          <w:p>
            <w:pPr>
              <w:spacing w:before="80" w:after="80"/>
            </w:pPr>
            <w:r>
              <w:rPr>
                <w:b w:val="0"/>
                <w:sz w:val="18"/>
              </w:rPr>
              <w:t>How did you listen, clarify, organize information, or adapt for a listener?</w:t>
            </w:r>
          </w:p>
        </w:tc>
      </w:tr>
      <w:tr>
        <w:trPr>
          <w:cantSplit/>
        </w:trPr>
        <w:tc>
          <w:tcPr>
            <w:tcW w:type="dxa" w:w="2592"/>
            <w:tcBorders>
              <w:top w:val="single" w:sz="4" w:color="D9D9D9"/>
              <w:bottom w:val="single" w:sz="4" w:color="D9D9D9"/>
              <w:left w:val="single" w:sz="4" w:color="D9D9D9"/>
              <w:right w:val="single" w:sz="4" w:color="D9D9D9"/>
            </w:tcBorders>
            <w:shd w:fill="FFFFFF"/>
          </w:tcPr>
          <w:p>
            <w:pPr>
              <w:spacing w:before="80" w:after="80"/>
            </w:pPr>
            <w:r>
              <w:rPr>
                <w:b w:val="0"/>
                <w:sz w:val="18"/>
              </w:rPr>
              <w:t>Critical Thinking</w:t>
            </w:r>
          </w:p>
        </w:tc>
        <w:tc>
          <w:tcPr>
            <w:tcW w:type="dxa" w:w="7632"/>
            <w:tcBorders>
              <w:top w:val="single" w:sz="4" w:color="D9D9D9"/>
              <w:bottom w:val="single" w:sz="4" w:color="D9D9D9"/>
              <w:left w:val="single" w:sz="4" w:color="D9D9D9"/>
              <w:right w:val="single" w:sz="4" w:color="D9D9D9"/>
            </w:tcBorders>
            <w:shd w:fill="FFFFFF"/>
          </w:tcPr>
          <w:p>
            <w:pPr>
              <w:spacing w:before="80" w:after="80"/>
            </w:pPr>
            <w:r>
              <w:rPr>
                <w:b w:val="0"/>
                <w:sz w:val="18"/>
              </w:rPr>
              <w:t>What sources and perspectives did you examine? How did you test assumptions?</w:t>
            </w:r>
          </w:p>
        </w:tc>
      </w:tr>
      <w:tr>
        <w:trPr>
          <w:cantSplit/>
        </w:trPr>
        <w:tc>
          <w:tcPr>
            <w:tcW w:type="dxa" w:w="2592"/>
            <w:tcBorders>
              <w:top w:val="single" w:sz="4" w:color="D9D9D9"/>
              <w:bottom w:val="single" w:sz="4" w:color="D9D9D9"/>
              <w:left w:val="single" w:sz="4" w:color="D9D9D9"/>
              <w:right w:val="single" w:sz="4" w:color="D9D9D9"/>
            </w:tcBorders>
            <w:shd w:fill="F5F5F5"/>
          </w:tcPr>
          <w:p>
            <w:pPr>
              <w:spacing w:before="80" w:after="80"/>
            </w:pPr>
            <w:r>
              <w:rPr>
                <w:b w:val="0"/>
                <w:sz w:val="18"/>
              </w:rPr>
              <w:t>Equity &amp; Inclusion</w:t>
            </w:r>
          </w:p>
        </w:tc>
        <w:tc>
          <w:tcPr>
            <w:tcW w:type="dxa" w:w="7632"/>
            <w:tcBorders>
              <w:top w:val="single" w:sz="4" w:color="D9D9D9"/>
              <w:bottom w:val="single" w:sz="4" w:color="D9D9D9"/>
              <w:left w:val="single" w:sz="4" w:color="D9D9D9"/>
              <w:right w:val="single" w:sz="4" w:color="D9D9D9"/>
            </w:tcBorders>
            <w:shd w:fill="F5F5F5"/>
          </w:tcPr>
          <w:p>
            <w:pPr>
              <w:spacing w:before="80" w:after="80"/>
            </w:pPr>
            <w:r>
              <w:rPr>
                <w:b w:val="0"/>
                <w:sz w:val="18"/>
              </w:rPr>
              <w:t>Whose perspective or access was missing? What inequity or barrier did you address?</w:t>
            </w:r>
          </w:p>
        </w:tc>
      </w:tr>
      <w:tr>
        <w:trPr>
          <w:cantSplit/>
        </w:trPr>
        <w:tc>
          <w:tcPr>
            <w:tcW w:type="dxa" w:w="2592"/>
            <w:tcBorders>
              <w:top w:val="single" w:sz="4" w:color="D9D9D9"/>
              <w:bottom w:val="single" w:sz="4" w:color="D9D9D9"/>
              <w:left w:val="single" w:sz="4" w:color="D9D9D9"/>
              <w:right w:val="single" w:sz="4" w:color="D9D9D9"/>
            </w:tcBorders>
            <w:shd w:fill="FFFFFF"/>
          </w:tcPr>
          <w:p>
            <w:pPr>
              <w:spacing w:before="80" w:after="80"/>
            </w:pPr>
            <w:r>
              <w:rPr>
                <w:b w:val="0"/>
                <w:sz w:val="18"/>
              </w:rPr>
              <w:t>Leadership</w:t>
            </w:r>
          </w:p>
        </w:tc>
        <w:tc>
          <w:tcPr>
            <w:tcW w:type="dxa" w:w="7632"/>
            <w:tcBorders>
              <w:top w:val="single" w:sz="4" w:color="D9D9D9"/>
              <w:bottom w:val="single" w:sz="4" w:color="D9D9D9"/>
              <w:left w:val="single" w:sz="4" w:color="D9D9D9"/>
              <w:right w:val="single" w:sz="4" w:color="D9D9D9"/>
            </w:tcBorders>
            <w:shd w:fill="FFFFFF"/>
          </w:tcPr>
          <w:p>
            <w:pPr>
              <w:spacing w:before="80" w:after="80"/>
            </w:pPr>
            <w:r>
              <w:rPr>
                <w:b w:val="0"/>
                <w:sz w:val="18"/>
              </w:rPr>
              <w:t>How did you use strengths, invite input, or organize progress toward a goal?</w:t>
            </w:r>
          </w:p>
        </w:tc>
      </w:tr>
      <w:tr>
        <w:trPr>
          <w:cantSplit/>
        </w:trPr>
        <w:tc>
          <w:tcPr>
            <w:tcW w:type="dxa" w:w="2592"/>
            <w:tcBorders>
              <w:top w:val="single" w:sz="4" w:color="D9D9D9"/>
              <w:bottom w:val="single" w:sz="4" w:color="D9D9D9"/>
              <w:left w:val="single" w:sz="4" w:color="D9D9D9"/>
              <w:right w:val="single" w:sz="4" w:color="D9D9D9"/>
            </w:tcBorders>
            <w:shd w:fill="F5F5F5"/>
          </w:tcPr>
          <w:p>
            <w:pPr>
              <w:spacing w:before="80" w:after="80"/>
            </w:pPr>
            <w:r>
              <w:rPr>
                <w:b w:val="0"/>
                <w:sz w:val="18"/>
              </w:rPr>
              <w:t>Professionalism</w:t>
            </w:r>
          </w:p>
        </w:tc>
        <w:tc>
          <w:tcPr>
            <w:tcW w:type="dxa" w:w="7632"/>
            <w:tcBorders>
              <w:top w:val="single" w:sz="4" w:color="D9D9D9"/>
              <w:bottom w:val="single" w:sz="4" w:color="D9D9D9"/>
              <w:left w:val="single" w:sz="4" w:color="D9D9D9"/>
              <w:right w:val="single" w:sz="4" w:color="D9D9D9"/>
            </w:tcBorders>
            <w:shd w:fill="F5F5F5"/>
          </w:tcPr>
          <w:p>
            <w:pPr>
              <w:spacing w:before="80" w:after="80"/>
            </w:pPr>
            <w:r>
              <w:rPr>
                <w:b w:val="0"/>
                <w:sz w:val="18"/>
              </w:rPr>
              <w:t>How did you prepare, follow through, check details, or take responsibility?</w:t>
            </w:r>
          </w:p>
        </w:tc>
      </w:tr>
      <w:tr>
        <w:trPr>
          <w:cantSplit/>
        </w:trPr>
        <w:tc>
          <w:tcPr>
            <w:tcW w:type="dxa" w:w="2592"/>
            <w:tcBorders>
              <w:top w:val="single" w:sz="4" w:color="D9D9D9"/>
              <w:bottom w:val="single" w:sz="4" w:color="D9D9D9"/>
              <w:left w:val="single" w:sz="4" w:color="D9D9D9"/>
              <w:right w:val="single" w:sz="4" w:color="D9D9D9"/>
            </w:tcBorders>
            <w:shd w:fill="FFFFFF"/>
          </w:tcPr>
          <w:p>
            <w:pPr>
              <w:spacing w:before="80" w:after="80"/>
            </w:pPr>
            <w:r>
              <w:rPr>
                <w:b w:val="0"/>
                <w:sz w:val="18"/>
              </w:rPr>
              <w:t>Teamwork</w:t>
            </w:r>
          </w:p>
        </w:tc>
        <w:tc>
          <w:tcPr>
            <w:tcW w:type="dxa" w:w="7632"/>
            <w:tcBorders>
              <w:top w:val="single" w:sz="4" w:color="D9D9D9"/>
              <w:bottom w:val="single" w:sz="4" w:color="D9D9D9"/>
              <w:left w:val="single" w:sz="4" w:color="D9D9D9"/>
              <w:right w:val="single" w:sz="4" w:color="D9D9D9"/>
            </w:tcBorders>
            <w:shd w:fill="FFFFFF"/>
          </w:tcPr>
          <w:p>
            <w:pPr>
              <w:spacing w:before="80" w:after="80"/>
            </w:pPr>
            <w:r>
              <w:rPr>
                <w:b w:val="0"/>
                <w:sz w:val="18"/>
              </w:rPr>
              <w:t>How did you share work, handle disagreement, or adjust with others?</w:t>
            </w:r>
          </w:p>
        </w:tc>
      </w:tr>
      <w:tr>
        <w:trPr>
          <w:cantSplit/>
        </w:trPr>
        <w:tc>
          <w:tcPr>
            <w:tcW w:type="dxa" w:w="2592"/>
            <w:tcBorders>
              <w:top w:val="single" w:sz="4" w:color="D9D9D9"/>
              <w:bottom w:val="single" w:sz="4" w:color="D9D9D9"/>
              <w:left w:val="single" w:sz="4" w:color="D9D9D9"/>
              <w:right w:val="single" w:sz="4" w:color="D9D9D9"/>
            </w:tcBorders>
            <w:shd w:fill="F5F5F5"/>
          </w:tcPr>
          <w:p>
            <w:pPr>
              <w:spacing w:before="80" w:after="80"/>
            </w:pPr>
            <w:r>
              <w:rPr>
                <w:b w:val="0"/>
                <w:sz w:val="18"/>
              </w:rPr>
              <w:t>Technology</w:t>
            </w:r>
          </w:p>
        </w:tc>
        <w:tc>
          <w:tcPr>
            <w:tcW w:type="dxa" w:w="7632"/>
            <w:tcBorders>
              <w:top w:val="single" w:sz="4" w:color="D9D9D9"/>
              <w:bottom w:val="single" w:sz="4" w:color="D9D9D9"/>
              <w:left w:val="single" w:sz="4" w:color="D9D9D9"/>
              <w:right w:val="single" w:sz="4" w:color="D9D9D9"/>
            </w:tcBorders>
            <w:shd w:fill="F5F5F5"/>
          </w:tcPr>
          <w:p>
            <w:pPr>
              <w:spacing w:before="80" w:after="80"/>
            </w:pPr>
            <w:r>
              <w:rPr>
                <w:b w:val="0"/>
                <w:sz w:val="18"/>
              </w:rPr>
              <w:t>Why did the tool fit? How did you learn it, check output, and use it responsibly?</w:t>
            </w:r>
          </w:p>
        </w:tc>
      </w:tr>
    </w:tbl>
    <w:p>
      <w:pPr>
        <w:pStyle w:val="Heading2"/>
      </w:pPr>
      <w:r>
        <w:t>How to coach a connection</w:t>
      </w:r>
    </w:p>
    <w:p>
      <w:pPr>
        <w:spacing w:after="100"/>
      </w:pPr>
      <w:r>
        <w:t>Ask the student to name an action, identify the relevant NACE behavior, and explain the connection. Check the match against NACE’s sample behaviors. Ask what outcome, feedback, or artifact supports it. A student can demonstrate more than one competency; choose the clearest evidence rather than requiring all eight. An experience title alone does not demonstrate the behavior.</w:t>
      </w:r>
    </w:p>
    <w:p>
      <w:pPr>
        <w:pStyle w:val="Heading2"/>
      </w:pPr>
      <w:r>
        <w:t>Taskforce alignment for Develop Skills and Competencies</w:t>
      </w:r>
    </w:p>
    <w:p>
      <w:pPr>
        <w:spacing w:after="100"/>
      </w:pPr>
      <w:r>
        <w:t>The experience supplies the setting for skill development. The case and worksheet connect actions and learning to NACE behaviors. Reflection examines decisions and growth. STAR practice turns that evidence into an explanation for work or graduate study. Individual partner feedback and a revised response reinforce growth. This workshop unpacks an experience; it does not replace the experience itself or certify proficiency.</w:t>
      </w:r>
    </w:p>
    <w:p>
      <w:pPr>
        <w:pStyle w:val="Heading1"/>
        <w:pageBreakBefore/>
      </w:pPr>
      <w:r>
        <w:t>Teaching script for the first twelve minutes</w:t>
      </w:r>
    </w:p>
    <w:p>
      <w:pPr>
        <w:pStyle w:val="Heading2"/>
      </w:pPr>
      <w:r>
        <w:t>Opening action from 0 to 5 minutes</w:t>
      </w:r>
    </w:p>
    <w:p>
      <w:pPr>
        <w:keepNext/>
        <w:spacing w:after="20" w:before="100"/>
      </w:pPr>
      <w:r>
        <w:rPr>
          <w:b/>
          <w:sz w:val="19"/>
        </w:rPr>
        <w:t>Facilitator actions:</w:t>
      </w:r>
    </w:p>
    <w:p>
      <w:pPr>
        <w:keepLines/>
        <w:spacing w:after="100"/>
        <w:ind w:left="216"/>
      </w:pPr>
      <w:r>
        <w:t>Begin the activity immediately. Allow one minute for individual thinking and writing, two minutes for partners, and two minutes to collect two or three action verbs on the board. Students can use the fictional case if they prefer.</w:t>
      </w:r>
    </w:p>
    <w:p>
      <w:pPr>
        <w:keepNext/>
        <w:spacing w:after="20" w:before="100"/>
      </w:pPr>
      <w:r>
        <w:rPr>
          <w:b/>
          <w:sz w:val="19"/>
        </w:rPr>
        <w:t>Say to students:</w:t>
      </w:r>
    </w:p>
    <w:p>
      <w:pPr>
        <w:keepLines/>
        <w:spacing w:after="100"/>
        <w:ind w:left="216"/>
      </w:pPr>
      <w:r>
        <w:t>“Recall a time you helped a group get something done, with or without a formal title. Write one decision you made and who it affected. We will return to that moment today. You do not need an impressive title or a perfect outcome. We are interested in what you did and what you learned.”</w:t>
      </w:r>
    </w:p>
    <w:p>
      <w:pPr>
        <w:keepNext/>
        <w:spacing w:after="20" w:before="100"/>
      </w:pPr>
      <w:r>
        <w:rPr>
          <w:b/>
          <w:sz w:val="19"/>
        </w:rPr>
        <w:t>Ask students:</w:t>
      </w:r>
    </w:p>
    <w:p>
      <w:pPr>
        <w:keepLines/>
        <w:spacing w:after="100"/>
        <w:ind w:left="216"/>
      </w:pPr>
      <w:r>
        <w:t>“What action did you hear your partner describe?”</w:t>
      </w:r>
    </w:p>
    <w:p>
      <w:pPr>
        <w:keepNext/>
        <w:spacing w:after="20" w:before="100"/>
      </w:pPr>
      <w:r>
        <w:rPr>
          <w:b/>
          <w:sz w:val="19"/>
        </w:rPr>
        <w:t>Expected responses:</w:t>
      </w:r>
    </w:p>
    <w:p>
      <w:pPr>
        <w:keepLines/>
        <w:spacing w:after="100"/>
        <w:ind w:left="216"/>
      </w:pPr>
      <w:r>
        <w:t>Concrete verbs such as asked, checked, compared, organized, listened, or revised.</w:t>
      </w:r>
    </w:p>
    <w:p>
      <w:pPr>
        <w:keepNext/>
        <w:spacing w:after="20" w:before="100"/>
      </w:pPr>
      <w:r>
        <w:rPr>
          <w:b/>
          <w:sz w:val="19"/>
        </w:rPr>
        <w:t>If students need support:</w:t>
      </w:r>
    </w:p>
    <w:p>
      <w:pPr>
        <w:keepLines/>
        <w:spacing w:after="100"/>
        <w:ind w:left="216"/>
      </w:pPr>
      <w:r>
        <w:t>If someone says “I learned a lot,” ask “What is one thing you did that helped you learn?” If nobody volunteers, offer “I checked a source before sharing it.”</w:t>
      </w:r>
    </w:p>
    <w:p>
      <w:pPr>
        <w:keepNext/>
        <w:spacing w:after="20" w:before="100"/>
      </w:pPr>
      <w:r>
        <w:rPr>
          <w:b/>
          <w:sz w:val="19"/>
        </w:rPr>
        <w:t>Transition to the next activity:</w:t>
      </w:r>
    </w:p>
    <w:p>
      <w:pPr>
        <w:keepLines/>
        <w:spacing w:after="100"/>
        <w:ind w:left="216"/>
      </w:pPr>
      <w:r>
        <w:t>“Those actions are where we can look for evidence of skills.”</w:t>
      </w:r>
    </w:p>
    <w:p>
      <w:pPr>
        <w:pStyle w:val="Heading2"/>
      </w:pPr>
      <w:r>
        <w:t>Introduce competencies from 5 to 12 minutes</w:t>
      </w:r>
    </w:p>
    <w:p>
      <w:pPr>
        <w:keepNext/>
        <w:spacing w:after="20" w:before="100"/>
      </w:pPr>
      <w:r>
        <w:rPr>
          <w:b/>
          <w:sz w:val="19"/>
        </w:rPr>
        <w:t>Facilitator actions:</w:t>
      </w:r>
    </w:p>
    <w:p>
      <w:pPr>
        <w:keepLines/>
        <w:spacing w:after="100"/>
        <w:ind w:left="216"/>
      </w:pPr>
      <w:r>
        <w:t>Use the eight-competency teaching table. Give pairs two minutes to match an action from their opening to a competency using the table. Use two minutes to name the eight areas briefly and hear two matches, then three minutes testing the distinction between a label and evidence.</w:t>
      </w:r>
    </w:p>
    <w:p>
      <w:pPr>
        <w:keepNext/>
        <w:spacing w:after="20" w:before="100"/>
      </w:pPr>
      <w:r>
        <w:rPr>
          <w:b/>
          <w:sz w:val="19"/>
        </w:rPr>
        <w:t>Say to students:</w:t>
      </w:r>
    </w:p>
    <w:p>
      <w:pPr>
        <w:keepLines/>
        <w:spacing w:after="100"/>
        <w:ind w:left="216"/>
      </w:pPr>
      <w:r>
        <w:t>“NACE is the National Association of Colleges and Employers. Its eight competencies give us language for describing skills. A name alone does not tell us what you can do. Evidence is the action and detail that makes the name credible.”</w:t>
      </w:r>
    </w:p>
    <w:p>
      <w:pPr>
        <w:keepNext/>
        <w:spacing w:after="20" w:before="100"/>
      </w:pPr>
      <w:r>
        <w:rPr>
          <w:b/>
          <w:sz w:val="19"/>
        </w:rPr>
        <w:t>Ask students:</w:t>
      </w:r>
    </w:p>
    <w:p>
      <w:pPr>
        <w:keepLines/>
        <w:spacing w:after="100"/>
        <w:ind w:left="216"/>
      </w:pPr>
      <w:r>
        <w:t>“Which tells us more: ‘I am professional’ or ‘I verified the instructions before advising someone’? Why?”</w:t>
      </w:r>
    </w:p>
    <w:p>
      <w:pPr>
        <w:keepNext/>
        <w:spacing w:after="20" w:before="100"/>
      </w:pPr>
      <w:r>
        <w:rPr>
          <w:b/>
          <w:sz w:val="19"/>
        </w:rPr>
        <w:t>Expected responses:</w:t>
      </w:r>
    </w:p>
    <w:p>
      <w:pPr>
        <w:keepLines/>
        <w:spacing w:after="100"/>
        <w:ind w:left="216"/>
      </w:pPr>
      <w:r>
        <w:t>The second statement describes an observable action and responsible judgment.</w:t>
      </w:r>
    </w:p>
    <w:p>
      <w:pPr>
        <w:keepNext/>
        <w:spacing w:after="20" w:before="100"/>
      </w:pPr>
      <w:r>
        <w:rPr>
          <w:b/>
          <w:sz w:val="19"/>
        </w:rPr>
        <w:t>If students need support:</w:t>
      </w:r>
    </w:p>
    <w:p>
      <w:pPr>
        <w:keepLines/>
        <w:spacing w:after="100"/>
        <w:ind w:left="216"/>
      </w:pPr>
      <w:r>
        <w:t>If students focus only on being formally dressed, explain that Professionalism also includes integrity, dependability, and work habits appropriate to the setting.</w:t>
      </w:r>
    </w:p>
    <w:p>
      <w:pPr>
        <w:keepNext/>
        <w:spacing w:after="20" w:before="100"/>
      </w:pPr>
      <w:r>
        <w:rPr>
          <w:b/>
          <w:sz w:val="19"/>
        </w:rPr>
        <w:t>Transition to the next activity:</w:t>
      </w:r>
    </w:p>
    <w:p>
      <w:pPr>
        <w:keepLines/>
        <w:spacing w:after="100"/>
        <w:ind w:left="216"/>
      </w:pPr>
      <w:r>
        <w:t>“Let us try making a connection with a shared example before you work on your own.”</w:t>
      </w:r>
    </w:p>
    <w:p>
      <w:pPr>
        <w:pStyle w:val="Heading1"/>
        <w:pageBreakBefore/>
      </w:pPr>
      <w:r>
        <w:t>Teach the shared case from 12 to 20 minutes</w:t>
      </w:r>
    </w:p>
    <w:p>
      <w:pPr>
        <w:keepNext/>
        <w:spacing w:after="20" w:before="100"/>
      </w:pPr>
      <w:r>
        <w:rPr>
          <w:b/>
          <w:sz w:val="19"/>
        </w:rPr>
        <w:t>Read aloud:</w:t>
      </w:r>
    </w:p>
    <w:p>
      <w:pPr>
        <w:keepLines/>
        <w:spacing w:after="100"/>
        <w:ind w:left="216"/>
      </w:pPr>
      <w:r>
        <w:t>A student organization is planning a speaker event. Early feedback shows that the registration process is hard to use and the scheduled time excludes some interested students. Jordan asks students about the barriers, brings options to the committee, assigns follow-up tasks around members’ strengths, and confirms changes with the venue. The team revises registration and offers another way to participate.</w:t>
      </w:r>
    </w:p>
    <w:p>
      <w:pPr>
        <w:spacing w:after="100"/>
      </w:pPr>
      <w:r>
        <w:t>Give pairs three minutes to identify two personal actions and propose competency connections. Use three minutes to debrief. Spend the final two minutes introducing the explanation structure: STAR: Situation, Task, Action, and Result. Add a short connection to the chosen audience after the STAR example. Tell students that several labels can fit when supported by evidence. The case is fictional.</w:t>
      </w:r>
    </w:p>
    <w:p>
      <w:pPr>
        <w:keepNext/>
        <w:spacing w:after="20" w:before="100"/>
      </w:pPr>
      <w:r>
        <w:rPr>
          <w:b/>
          <w:sz w:val="19"/>
        </w:rPr>
        <w:t>Make STAR visible:</w:t>
      </w:r>
    </w:p>
    <w:p>
      <w:pPr>
        <w:keepLines/>
        <w:spacing w:after="100"/>
        <w:ind w:left="216"/>
      </w:pPr>
      <w:r>
        <w:t>Situation: identify the setting and challenge in the case. Task: My responsibility was to help the committee revise participation arrangements and coordinate follow-up. Action: asked about participation barriers, coordinated committee tasks, and confirmed changes with the venue. Result: the committee revised registration and offered another participation route. Ask students to distinguish the surrounding problem from the student’s responsibility. Then ask which actions provide the strongest competency evidence.</w:t>
      </w:r>
    </w:p>
    <w:p>
      <w:pPr>
        <w:keepNext/>
        <w:spacing w:after="20" w:before="100"/>
      </w:pPr>
      <w:r>
        <w:rPr>
          <w:b/>
          <w:sz w:val="19"/>
        </w:rPr>
        <w:t>Debrief guidance:</w:t>
      </w:r>
    </w:p>
    <w:p>
      <w:pPr>
        <w:keepLines/>
        <w:spacing w:after="100"/>
        <w:ind w:left="216"/>
      </w:pPr>
      <w:r>
        <w:t>Equity and Inclusion: listening to perspectives and addressing participation barriers. Leadership: coordinating work around members’ strengths. Communication: confirming changes with stakeholders. Do not infer effectiveness solely from holding an officer title.</w:t>
      </w:r>
    </w:p>
    <w:p>
      <w:pPr>
        <w:keepNext/>
        <w:spacing w:after="20" w:before="100"/>
      </w:pPr>
      <w:r>
        <w:rPr>
          <w:b/>
          <w:sz w:val="19"/>
        </w:rPr>
        <w:t>Follow up:</w:t>
      </w:r>
    </w:p>
    <w:p>
      <w:pPr>
        <w:keepLines/>
        <w:spacing w:after="100"/>
        <w:ind w:left="216"/>
      </w:pPr>
      <w:r>
        <w:t>If students name only a competency, ask “Which words in the case show that behavior?” If they disagree, ask each to explain the connection. A leadership title alone does not establish leadership behaviors.</w:t>
      </w:r>
    </w:p>
    <w:p>
      <w:pPr>
        <w:pStyle w:val="Heading1"/>
        <w:pageBreakBefore/>
      </w:pPr>
      <w:r>
        <w:t>Facilitate individual reflection</w:t>
      </w:r>
    </w:p>
    <w:p>
      <w:pPr>
        <w:pStyle w:val="Heading2"/>
      </w:pPr>
      <w:r>
        <w:t>Individual reflection from 20 to 32 minutes</w:t>
      </w:r>
    </w:p>
    <w:p>
      <w:pPr>
        <w:keepNext/>
        <w:spacing w:after="20" w:before="100"/>
      </w:pPr>
      <w:r>
        <w:rPr>
          <w:b/>
          <w:sz w:val="19"/>
        </w:rPr>
        <w:t>Facilitator actions:</w:t>
      </w:r>
    </w:p>
    <w:p>
      <w:pPr>
        <w:keepLines/>
        <w:spacing w:after="100"/>
        <w:ind w:left="216"/>
      </w:pPr>
      <w:r>
        <w:t>Give students the Student reflection worksheet. Allocate three minutes to context and responsibility, four to personal actions and evidence, three to competency connections, and two to learning and a next step. Circulate without demanding personal disclosure.</w:t>
      </w:r>
    </w:p>
    <w:p>
      <w:pPr>
        <w:keepNext/>
        <w:spacing w:after="20" w:before="100"/>
      </w:pPr>
      <w:r>
        <w:rPr>
          <w:b/>
          <w:sz w:val="19"/>
        </w:rPr>
        <w:t>Say to students:</w:t>
      </w:r>
    </w:p>
    <w:p>
      <w:pPr>
        <w:keepLines/>
        <w:spacing w:after="100"/>
        <w:ind w:left="216"/>
      </w:pPr>
      <w:r>
        <w:t>“Choose one moment rather than summarizing your whole experience. Write what happened and what you personally did. Then explain which competency or competencies those actions show. Finally, examine what you learned and what you want to improve.”</w:t>
      </w:r>
    </w:p>
    <w:p>
      <w:pPr>
        <w:keepNext/>
        <w:spacing w:after="20" w:before="100"/>
      </w:pPr>
      <w:r>
        <w:rPr>
          <w:b/>
          <w:sz w:val="19"/>
        </w:rPr>
        <w:t>Ask students:</w:t>
      </w:r>
    </w:p>
    <w:p>
      <w:pPr>
        <w:keepLines/>
        <w:spacing w:after="100"/>
        <w:ind w:left="216"/>
      </w:pPr>
      <w:r>
        <w:t>“What did you do? What detail supports that? What changed in your understanding?”</w:t>
      </w:r>
    </w:p>
    <w:p>
      <w:pPr>
        <w:keepNext/>
        <w:spacing w:after="20" w:before="100"/>
      </w:pPr>
      <w:r>
        <w:rPr>
          <w:b/>
          <w:sz w:val="19"/>
        </w:rPr>
        <w:t>Expected responses:</w:t>
      </w:r>
    </w:p>
    <w:p>
      <w:pPr>
        <w:keepLines/>
        <w:spacing w:after="100"/>
        <w:ind w:left="216"/>
      </w:pPr>
      <w:r>
        <w:t>Specific personal actions, a plausible connection, and a learning insight. A useful outcome can be a correction, feedback, or a new question.</w:t>
      </w:r>
    </w:p>
    <w:p>
      <w:pPr>
        <w:keepNext/>
        <w:spacing w:after="20" w:before="100"/>
      </w:pPr>
      <w:r>
        <w:rPr>
          <w:b/>
          <w:sz w:val="19"/>
        </w:rPr>
        <w:t>If students need support:</w:t>
      </w:r>
    </w:p>
    <w:p>
      <w:pPr>
        <w:keepLines/>
        <w:spacing w:after="100"/>
        <w:ind w:left="216"/>
      </w:pPr>
      <w:r>
        <w:t>For “We did the project,” ask “What was your contribution?” For a competency list, ask “Which connection has the clearest evidence?” For “Nothing succeeded,” ask “What did you try, notice, or change?”</w:t>
      </w:r>
    </w:p>
    <w:p>
      <w:pPr>
        <w:keepNext/>
        <w:spacing w:after="20" w:before="100"/>
      </w:pPr>
      <w:r>
        <w:rPr>
          <w:b/>
          <w:sz w:val="19"/>
        </w:rPr>
        <w:t>Transition to the next activity:</w:t>
      </w:r>
    </w:p>
    <w:p>
      <w:pPr>
        <w:keepLines/>
        <w:spacing w:after="100"/>
        <w:ind w:left="216"/>
      </w:pPr>
      <w:r>
        <w:t>“You now have evidence. Next we will shape it for a listener who was not there.”</w:t>
      </w:r>
    </w:p>
    <w:p>
      <w:pPr>
        <w:pStyle w:val="Heading1"/>
        <w:pageBreakBefore/>
      </w:pPr>
      <w:r>
        <w:t>Teach STAR and facilitate practice</w:t>
      </w:r>
    </w:p>
    <w:p>
      <w:pPr>
        <w:pStyle w:val="Heading2"/>
      </w:pPr>
      <w:r>
        <w:t>Explain the speaking structure before practice</w:t>
      </w:r>
    </w:p>
    <w:p>
      <w:pPr>
        <w:spacing w:after="100"/>
      </w:pPr>
      <w:r>
        <w:t>Use STAR: Situation describes the setting and challenge; Task identifies your responsibility or goal; Action explains the steps you personally took; Result describes the outcome, supported by honest evidence. Include learning when useful, then connect the example to the listener. Situation is the background; Task is what you were responsible for doing within it. STAR is an organizing tool, not a required format for every graduate-school conversation.</w:t>
      </w:r>
    </w:p>
    <w:p>
      <w:pPr>
        <w:keepNext/>
        <w:spacing w:after="20" w:before="100"/>
      </w:pPr>
      <w:r>
        <w:rPr>
          <w:b/>
          <w:sz w:val="19"/>
        </w:rPr>
        <w:t>Say to students:</w:t>
      </w:r>
    </w:p>
    <w:p>
      <w:pPr>
        <w:keepLines/>
        <w:spacing w:after="100"/>
        <w:ind w:left="216"/>
      </w:pPr>
      <w:r>
        <w:t>“Briefly set the Situation, then state your Task: what were you responsible for? Spend most of your answer on your Action. Give the honest Result and what you learned. After STAR, connect the evidence to a need in the job or to academic work you want to undertake. Use real numbers only when you know them. You do not need to repeat the competency label if the example makes the ability clear.”</w:t>
      </w:r>
    </w:p>
    <w:p>
      <w:pPr>
        <w:keepNext/>
        <w:spacing w:after="20" w:before="100"/>
      </w:pPr>
      <w:r>
        <w:rPr>
          <w:b/>
          <w:sz w:val="19"/>
        </w:rPr>
        <w:t>Model the connection:</w:t>
      </w:r>
    </w:p>
    <w:p>
      <w:pPr>
        <w:keepLines/>
        <w:spacing w:after="100"/>
        <w:ind w:left="216"/>
      </w:pPr>
      <w:r>
        <w:t>“In our case, the personal actions were: asked about participation barriers, coordinated committee tasks, and confirmed changes with the venue. The outcome was: the committee revised registration and offered another participation route. Those are the pieces a listener needs. An employer will want to understand how the behavior could help with work; a graduate-school representative will want to understand its connection to academic interests, methods, or readiness.”</w:t>
      </w:r>
    </w:p>
    <w:p>
      <w:pPr>
        <w:pStyle w:val="Heading2"/>
      </w:pPr>
      <w:r>
        <w:t>Practice from 32 to 46 minutes</w:t>
      </w:r>
    </w:p>
    <w:p>
      <w:pPr>
        <w:spacing w:after="100"/>
      </w:pPr>
      <w:r>
        <w:t>32–35: Students choose an employer or graduate-school audience and draft from the Practice explaining the experience handout. Use its model responses to demonstrate a completed answer if needed. 35–38: Partner A speaks for 60–90 seconds; Partner B gives feedback for the remainder. 38–41: Swap. 41–43: Both revise. 43–46: Each delivers a revised answer for about one minute.</w:t>
      </w:r>
    </w:p>
    <w:p>
      <w:pPr>
        <w:keepNext/>
        <w:spacing w:after="20" w:before="100"/>
      </w:pPr>
      <w:r>
        <w:rPr>
          <w:b/>
          <w:sz w:val="19"/>
        </w:rPr>
        <w:t>Instructions for the listener:</w:t>
      </w:r>
    </w:p>
    <w:p>
      <w:pPr>
        <w:keepLines/>
        <w:spacing w:after="100"/>
        <w:ind w:left="216"/>
      </w:pPr>
      <w:r>
        <w:t>“Name one specific action you heard. Point out one connection you understood. Ask for one missing detail or a clearer link to the chosen audience. Avoid general feedback such as ‘good job.’”</w:t>
      </w:r>
    </w:p>
    <w:p>
      <w:pPr>
        <w:keepNext/>
        <w:spacing w:after="20" w:before="100"/>
      </w:pPr>
      <w:r>
        <w:rPr>
          <w:b/>
          <w:sz w:val="19"/>
        </w:rPr>
        <w:t>Check participation and transition:</w:t>
      </w:r>
    </w:p>
    <w:p>
      <w:pPr>
        <w:keepLines/>
        <w:spacing w:after="100"/>
        <w:ind w:left="216"/>
      </w:pPr>
      <w:r>
        <w:t>Watch for practice actually occurring, not only writing. Offer an equivalent private recording, written exchange, or instructor conversation when needed. Say: “You have reflected, connected, explained, and revised. Let us check the ideas behind that process.”</w:t>
      </w:r>
    </w:p>
    <w:p>
      <w:pPr>
        <w:pStyle w:val="Heading1"/>
        <w:pageBreakBefore/>
      </w:pPr>
      <w:r>
        <w:t>Closing script and questions you may hear</w:t>
      </w:r>
    </w:p>
    <w:p>
      <w:pPr>
        <w:pStyle w:val="Heading2"/>
      </w:pPr>
      <w:r>
        <w:t>Reinforcement from 46 to 56 minutes</w:t>
      </w:r>
    </w:p>
    <w:p>
      <w:pPr>
        <w:spacing w:after="100"/>
      </w:pPr>
      <w:r>
        <w:t>Use the eight questions in the Closing quiz instructor key. In Kahoot, enter the four choices and mark the labeled correct answer before class. No live game is supplied. Without technology, read the question and choices, give thinking time, and have everyone show A/B/C/D together. Allow about 25 seconds to answer and 35 seconds to explain each item; reserve two minutes to revisit the most difficult idea.</w:t>
      </w:r>
    </w:p>
    <w:p>
      <w:pPr>
        <w:keepNext/>
        <w:spacing w:after="20" w:before="100"/>
      </w:pPr>
      <w:r>
        <w:rPr>
          <w:b/>
          <w:sz w:val="19"/>
        </w:rPr>
        <w:t>Say to students:</w:t>
      </w:r>
    </w:p>
    <w:p>
      <w:pPr>
        <w:keepLines/>
        <w:spacing w:after="100"/>
        <w:ind w:left="216"/>
      </w:pPr>
      <w:r>
        <w:t>“For the quiz, choose the strongest answer from the options. In real experiences, more than one competency can be supported. After each question, I will explain why the answer is the best fit.”</w:t>
      </w:r>
    </w:p>
    <w:p>
      <w:pPr>
        <w:keepNext/>
        <w:spacing w:after="20" w:before="100"/>
      </w:pPr>
      <w:r>
        <w:rPr>
          <w:b/>
          <w:sz w:val="19"/>
        </w:rPr>
        <w:t>After an incorrect response:</w:t>
      </w:r>
    </w:p>
    <w:p>
      <w:pPr>
        <w:keepLines/>
        <w:spacing w:after="100"/>
        <w:ind w:left="216"/>
      </w:pPr>
      <w:r>
        <w:t>Read the answer explanation in the instructor key. Ask “What detail in the question supports that choice?” Explain the distinction rather than judging the student’s overall ability. If several students miss the same item, use one example from the teaching table before moving on.</w:t>
      </w:r>
    </w:p>
    <w:p>
      <w:pPr>
        <w:pStyle w:val="Heading2"/>
      </w:pPr>
      <w:r>
        <w:t>Exit and close from 56 to 60 minutes</w:t>
      </w:r>
    </w:p>
    <w:p>
      <w:pPr>
        <w:spacing w:after="100"/>
      </w:pPr>
      <w:r>
        <w:t>Give two minutes to submit the revised evidence statement, one change made after feedback, and a growth action with a date or feedback source. Use one minute to invite a voluntary example and one minute to close.</w:t>
      </w:r>
    </w:p>
    <w:p>
      <w:pPr>
        <w:keepNext/>
        <w:spacing w:after="20" w:before="100"/>
      </w:pPr>
      <w:r>
        <w:rPr>
          <w:b/>
          <w:sz w:val="19"/>
        </w:rPr>
        <w:t>Say to students:</w:t>
      </w:r>
    </w:p>
    <w:p>
      <w:pPr>
        <w:keepLines/>
        <w:spacing w:after="100"/>
        <w:ind w:left="216"/>
      </w:pPr>
      <w:r>
        <w:t>“The experience title does not tell your whole story. What you did, how you learned, and how you explain the connection make your skills visible. Keep your revised example and revisit your practice goal. The next time you describe this experience, choose the details that matter to that listener.”</w:t>
      </w:r>
    </w:p>
    <w:p>
      <w:pPr>
        <w:pStyle w:val="Heading2"/>
      </w:pPr>
      <w:r>
        <w:t>Questions and suggested responses</w:t>
      </w:r>
    </w:p>
    <w:tbl>
      <w:tblPr>
        <w:tblW w:type="auto" w:w="0"/>
        <w:tblLayout w:type="fixed"/>
        <w:tblLook w:firstColumn="1" w:firstRow="1" w:lastColumn="0" w:lastRow="0" w:noHBand="0" w:noVBand="1" w:val="04A0"/>
      </w:tblPr>
      <w:tblGrid>
        <w:gridCol w:w="3240"/>
        <w:gridCol w:w="6984"/>
      </w:tblGrid>
      <w:tr>
        <w:trPr>
          <w:cantSplit/>
          <w:tblHeader/>
        </w:trPr>
        <w:tc>
          <w:tcPr>
            <w:tcW w:type="dxa" w:w="3240"/>
            <w:tcBorders>
              <w:top w:val="single" w:sz="4" w:color="D9D9D9"/>
              <w:bottom w:val="single" w:sz="4" w:color="D9D9D9"/>
              <w:left w:val="single" w:sz="4" w:color="D9D9D9"/>
              <w:right w:val="single" w:sz="4" w:color="D9D9D9"/>
            </w:tcBorders>
            <w:shd w:fill="E6EBEE"/>
          </w:tcPr>
          <w:p>
            <w:pPr>
              <w:spacing w:before="80" w:after="80"/>
            </w:pPr>
            <w:r>
              <w:rPr>
                <w:b/>
                <w:sz w:val="18"/>
              </w:rPr>
              <w:t>If a student asks</w:t>
            </w:r>
          </w:p>
        </w:tc>
        <w:tc>
          <w:tcPr>
            <w:tcW w:type="dxa" w:w="6984"/>
            <w:tcBorders>
              <w:top w:val="single" w:sz="4" w:color="D9D9D9"/>
              <w:bottom w:val="single" w:sz="4" w:color="D9D9D9"/>
              <w:left w:val="single" w:sz="4" w:color="D9D9D9"/>
              <w:right w:val="single" w:sz="4" w:color="D9D9D9"/>
            </w:tcBorders>
            <w:shd w:fill="E6EBEE"/>
          </w:tcPr>
          <w:p>
            <w:pPr>
              <w:spacing w:before="80" w:after="80"/>
            </w:pPr>
            <w:r>
              <w:rPr>
                <w:b/>
                <w:sz w:val="18"/>
              </w:rPr>
              <w:t>You can respond</w:t>
            </w:r>
          </w:p>
        </w:tc>
      </w:tr>
      <w:tr>
        <w:trPr>
          <w:cantSplit/>
        </w:trPr>
        <w:tc>
          <w:tcPr>
            <w:tcW w:type="dxa" w:w="3240"/>
            <w:tcBorders>
              <w:top w:val="single" w:sz="4" w:color="D9D9D9"/>
              <w:bottom w:val="single" w:sz="4" w:color="D9D9D9"/>
              <w:left w:val="single" w:sz="4" w:color="D9D9D9"/>
              <w:right w:val="single" w:sz="4" w:color="D9D9D9"/>
            </w:tcBorders>
            <w:shd w:fill="FFFFFF"/>
          </w:tcPr>
          <w:p>
            <w:pPr>
              <w:spacing w:before="80" w:after="80"/>
            </w:pPr>
            <w:r>
              <w:rPr>
                <w:b w:val="0"/>
                <w:sz w:val="18"/>
              </w:rPr>
              <w:t>Can one action show several competencies?</w:t>
            </w:r>
          </w:p>
        </w:tc>
        <w:tc>
          <w:tcPr>
            <w:tcW w:type="dxa" w:w="6984"/>
            <w:tcBorders>
              <w:top w:val="single" w:sz="4" w:color="D9D9D9"/>
              <w:bottom w:val="single" w:sz="4" w:color="D9D9D9"/>
              <w:left w:val="single" w:sz="4" w:color="D9D9D9"/>
              <w:right w:val="single" w:sz="4" w:color="D9D9D9"/>
            </w:tcBorders>
            <w:shd w:fill="FFFFFF"/>
          </w:tcPr>
          <w:p>
            <w:pPr>
              <w:spacing w:before="80" w:after="80"/>
            </w:pPr>
            <w:r>
              <w:rPr>
                <w:b w:val="0"/>
                <w:sz w:val="18"/>
              </w:rPr>
              <w:t>Yes. Explain each connection with evidence. Choose the strongest ones instead of adding every label.</w:t>
            </w:r>
          </w:p>
        </w:tc>
      </w:tr>
      <w:tr>
        <w:trPr>
          <w:cantSplit/>
        </w:trPr>
        <w:tc>
          <w:tcPr>
            <w:tcW w:type="dxa" w:w="3240"/>
            <w:tcBorders>
              <w:top w:val="single" w:sz="4" w:color="D9D9D9"/>
              <w:bottom w:val="single" w:sz="4" w:color="D9D9D9"/>
              <w:left w:val="single" w:sz="4" w:color="D9D9D9"/>
              <w:right w:val="single" w:sz="4" w:color="D9D9D9"/>
            </w:tcBorders>
            <w:shd w:fill="F5F5F5"/>
          </w:tcPr>
          <w:p>
            <w:pPr>
              <w:spacing w:before="80" w:after="80"/>
            </w:pPr>
            <w:r>
              <w:rPr>
                <w:b w:val="0"/>
                <w:sz w:val="18"/>
              </w:rPr>
              <w:t>What if the result was unsuccessful?</w:t>
            </w:r>
          </w:p>
        </w:tc>
        <w:tc>
          <w:tcPr>
            <w:tcW w:type="dxa" w:w="6984"/>
            <w:tcBorders>
              <w:top w:val="single" w:sz="4" w:color="D9D9D9"/>
              <w:bottom w:val="single" w:sz="4" w:color="D9D9D9"/>
              <w:left w:val="single" w:sz="4" w:color="D9D9D9"/>
              <w:right w:val="single" w:sz="4" w:color="D9D9D9"/>
            </w:tcBorders>
            <w:shd w:fill="F5F5F5"/>
          </w:tcPr>
          <w:p>
            <w:pPr>
              <w:spacing w:before="80" w:after="80"/>
            </w:pPr>
            <w:r>
              <w:rPr>
                <w:b w:val="0"/>
                <w:sz w:val="18"/>
              </w:rPr>
              <w:t>Describe the outcome honestly, what you learned, and what you changed or would do next. Do not invent success.</w:t>
            </w:r>
          </w:p>
        </w:tc>
      </w:tr>
      <w:tr>
        <w:trPr>
          <w:cantSplit/>
        </w:trPr>
        <w:tc>
          <w:tcPr>
            <w:tcW w:type="dxa" w:w="3240"/>
            <w:tcBorders>
              <w:top w:val="single" w:sz="4" w:color="D9D9D9"/>
              <w:bottom w:val="single" w:sz="4" w:color="D9D9D9"/>
              <w:left w:val="single" w:sz="4" w:color="D9D9D9"/>
              <w:right w:val="single" w:sz="4" w:color="D9D9D9"/>
            </w:tcBorders>
            <w:shd w:fill="FFFFFF"/>
          </w:tcPr>
          <w:p>
            <w:pPr>
              <w:spacing w:before="80" w:after="80"/>
            </w:pPr>
            <w:r>
              <w:rPr>
                <w:b w:val="0"/>
                <w:sz w:val="18"/>
              </w:rPr>
              <w:t>Does this prove I have mastered a skill?</w:t>
            </w:r>
          </w:p>
        </w:tc>
        <w:tc>
          <w:tcPr>
            <w:tcW w:type="dxa" w:w="6984"/>
            <w:tcBorders>
              <w:top w:val="single" w:sz="4" w:color="D9D9D9"/>
              <w:bottom w:val="single" w:sz="4" w:color="D9D9D9"/>
              <w:left w:val="single" w:sz="4" w:color="D9D9D9"/>
              <w:right w:val="single" w:sz="4" w:color="D9D9D9"/>
            </w:tcBorders>
            <w:shd w:fill="FFFFFF"/>
          </w:tcPr>
          <w:p>
            <w:pPr>
              <w:spacing w:before="80" w:after="80"/>
            </w:pPr>
            <w:r>
              <w:rPr>
                <w:b w:val="0"/>
                <w:sz w:val="18"/>
              </w:rPr>
              <w:t>No. This reflection identifies evidence and areas for growth; one example is not a validated proficiency assessment.</w:t>
            </w:r>
          </w:p>
        </w:tc>
      </w:tr>
      <w:tr>
        <w:trPr>
          <w:cantSplit/>
        </w:trPr>
        <w:tc>
          <w:tcPr>
            <w:tcW w:type="dxa" w:w="3240"/>
            <w:tcBorders>
              <w:top w:val="single" w:sz="4" w:color="D9D9D9"/>
              <w:bottom w:val="single" w:sz="4" w:color="D9D9D9"/>
              <w:left w:val="single" w:sz="4" w:color="D9D9D9"/>
              <w:right w:val="single" w:sz="4" w:color="D9D9D9"/>
            </w:tcBorders>
            <w:shd w:fill="F5F5F5"/>
          </w:tcPr>
          <w:p>
            <w:pPr>
              <w:spacing w:before="80" w:after="80"/>
            </w:pPr>
            <w:r>
              <w:rPr>
                <w:b w:val="0"/>
                <w:sz w:val="18"/>
              </w:rPr>
              <w:t>Will employers or graduate programs use these exact words?</w:t>
            </w:r>
          </w:p>
        </w:tc>
        <w:tc>
          <w:tcPr>
            <w:tcW w:type="dxa" w:w="6984"/>
            <w:tcBorders>
              <w:top w:val="single" w:sz="4" w:color="D9D9D9"/>
              <w:bottom w:val="single" w:sz="4" w:color="D9D9D9"/>
              <w:left w:val="single" w:sz="4" w:color="D9D9D9"/>
              <w:right w:val="single" w:sz="4" w:color="D9D9D9"/>
            </w:tcBorders>
            <w:shd w:fill="F5F5F5"/>
          </w:tcPr>
          <w:p>
            <w:pPr>
              <w:spacing w:before="80" w:after="80"/>
            </w:pPr>
            <w:r>
              <w:rPr>
                <w:b w:val="0"/>
                <w:sz w:val="18"/>
              </w:rPr>
              <w:t>They may use different language. Describe the behavior clearly and connect it to the actual role or program.</w:t>
            </w:r>
          </w:p>
        </w:tc>
      </w:tr>
      <w:tr>
        <w:trPr>
          <w:cantSplit/>
        </w:trPr>
        <w:tc>
          <w:tcPr>
            <w:tcW w:type="dxa" w:w="3240"/>
            <w:tcBorders>
              <w:top w:val="single" w:sz="4" w:color="D9D9D9"/>
              <w:bottom w:val="single" w:sz="4" w:color="D9D9D9"/>
              <w:left w:val="single" w:sz="4" w:color="D9D9D9"/>
              <w:right w:val="single" w:sz="4" w:color="D9D9D9"/>
            </w:tcBorders>
            <w:shd w:fill="FFFFFF"/>
          </w:tcPr>
          <w:p>
            <w:pPr>
              <w:spacing w:before="80" w:after="80"/>
            </w:pPr>
            <w:r>
              <w:rPr>
                <w:b w:val="0"/>
                <w:sz w:val="18"/>
              </w:rPr>
              <w:t>What if I do not know my future job or program?</w:t>
            </w:r>
          </w:p>
        </w:tc>
        <w:tc>
          <w:tcPr>
            <w:tcW w:type="dxa" w:w="6984"/>
            <w:tcBorders>
              <w:top w:val="single" w:sz="4" w:color="D9D9D9"/>
              <w:bottom w:val="single" w:sz="4" w:color="D9D9D9"/>
              <w:left w:val="single" w:sz="4" w:color="D9D9D9"/>
              <w:right w:val="single" w:sz="4" w:color="D9D9D9"/>
            </w:tcBorders>
            <w:shd w:fill="FFFFFF"/>
          </w:tcPr>
          <w:p>
            <w:pPr>
              <w:spacing w:before="80" w:after="80"/>
            </w:pPr>
            <w:r>
              <w:rPr>
                <w:b w:val="0"/>
                <w:sz w:val="18"/>
              </w:rPr>
              <w:t>Use a plausible role or academic direction for practice. You can change the relevance statement when your audience changes.</w:t>
            </w:r>
          </w:p>
        </w:tc>
      </w:tr>
    </w:tbl>
    <w:p>
      <w:pPr>
        <w:pStyle w:val="Heading2"/>
      </w:pPr>
      <w:r>
        <w:t>How to judge the work</w:t>
      </w:r>
    </w:p>
    <w:p>
      <w:pPr>
        <w:spacing w:after="100"/>
      </w:pPr>
      <w:r>
        <w:t>Use the feedback checklist in Practice explaining the experience. An adequate response identifies a real action, supports a plausible competency connection, describes an honest outcome or learning, and explains relevance to the chosen audience. Ask students to revise missing elements. Do not score personal disclosure, accent, confidence, access to prestigious experiences, or a self-rated proficiency level.</w:t>
      </w:r>
    </w:p>
    <w:p>
      <w:pPr>
        <w:pStyle w:val="Heading1"/>
        <w:pageBreakBefore/>
      </w:pPr>
      <w:r>
        <w:t>Student reflection worksheet</w:t>
      </w:r>
    </w:p>
    <w:p>
      <w:pPr>
        <w:spacing w:after="100"/>
      </w:pPr>
      <w:r>
        <w:t>Experience focus  Student Leadership</w:t>
      </w:r>
    </w:p>
    <w:p>
      <w:pPr>
        <w:spacing w:after="100"/>
      </w:pPr>
      <w:r>
        <w:t>Name ______________________________  Date __________________</w:t>
      </w:r>
    </w:p>
    <w:p>
      <w:pPr>
        <w:spacing w:after="100"/>
      </w:pPr>
      <w:r>
        <w:t>Reflect on one moment in your own experience. You may use the fictional case if you prefer. Use separate paper or a digital document when you need more space.</w:t>
      </w:r>
    </w:p>
    <w:p>
      <w:pPr>
        <w:pStyle w:val="Heading2"/>
      </w:pPr>
      <w:r>
        <w:t>1  Context and responsibility</w:t>
      </w:r>
    </w:p>
    <w:p>
      <w:pPr>
        <w:spacing w:after="100"/>
      </w:pPr>
      <w:r>
        <w:t>What happened? What was your responsibility? Why did the moment matter?</w:t>
      </w:r>
    </w:p>
    <w:p>
      <w:pPr>
        <w:spacing w:after="100"/>
      </w:pPr>
      <w:r>
        <w:t>________________________________________________________________________________</w:t>
      </w:r>
    </w:p>
    <w:p>
      <w:pPr>
        <w:spacing w:after="100"/>
      </w:pPr>
      <w:r>
        <w:t>________________________________________________________________________________</w:t>
      </w:r>
    </w:p>
    <w:p>
      <w:pPr>
        <w:pStyle w:val="Heading2"/>
      </w:pPr>
      <w:r>
        <w:t>2  Personal actions and evidence</w:t>
      </w:r>
    </w:p>
    <w:p>
      <w:pPr>
        <w:spacing w:after="100"/>
      </w:pPr>
      <w:r>
        <w:t>What did you personally do? What observation, artifact, feedback, or outcome supports your account?</w:t>
      </w:r>
    </w:p>
    <w:p>
      <w:pPr>
        <w:spacing w:after="100"/>
      </w:pPr>
      <w:r>
        <w:t>________________________________________________________________________________</w:t>
      </w:r>
    </w:p>
    <w:p>
      <w:pPr>
        <w:spacing w:after="100"/>
      </w:pPr>
      <w:r>
        <w:t>________________________________________________________________________________</w:t>
      </w:r>
    </w:p>
    <w:p>
      <w:pPr>
        <w:pStyle w:val="Heading2"/>
      </w:pPr>
      <w:r>
        <w:t>3  Competency connections</w:t>
      </w:r>
    </w:p>
    <w:p>
      <w:pPr>
        <w:spacing w:after="100"/>
      </w:pPr>
      <w:r>
        <w:t>Choose one or more competencies. Connect at least two personal actions to relevant NACE sample behaviors, explain why each fits, and identify evidence or feedback that supports the connection.</w:t>
      </w:r>
    </w:p>
    <w:p>
      <w:pPr>
        <w:spacing w:after="100"/>
      </w:pPr>
      <w:r>
        <w:t>________________________________________________________________________________</w:t>
      </w:r>
    </w:p>
    <w:p>
      <w:pPr>
        <w:spacing w:after="100"/>
      </w:pPr>
      <w:r>
        <w:t>________________________________________________________________________________</w:t>
      </w:r>
    </w:p>
    <w:p>
      <w:pPr>
        <w:pStyle w:val="Heading2"/>
      </w:pPr>
      <w:r>
        <w:t>4  Learning</w:t>
      </w:r>
    </w:p>
    <w:p>
      <w:pPr>
        <w:spacing w:after="100"/>
      </w:pPr>
      <w:r>
        <w:t>What did the experience change in your understanding, assumptions, or approach? What would you repeat or change?</w:t>
      </w:r>
    </w:p>
    <w:p>
      <w:pPr>
        <w:spacing w:after="100"/>
      </w:pPr>
      <w:r>
        <w:t>________________________________________________________________________________</w:t>
      </w:r>
    </w:p>
    <w:p>
      <w:pPr>
        <w:spacing w:after="100"/>
      </w:pPr>
      <w:r>
        <w:t>________________________________________________________________________________</w:t>
      </w:r>
    </w:p>
    <w:p>
      <w:pPr>
        <w:pStyle w:val="Heading2"/>
      </w:pPr>
      <w:r>
        <w:t>5  A growth action</w:t>
      </w:r>
    </w:p>
    <w:p>
      <w:pPr>
        <w:spacing w:after="100"/>
      </w:pPr>
      <w:r>
        <w:t>What will you practice within two weeks? Set a date and choose a person or another source of feedback.</w:t>
      </w:r>
    </w:p>
    <w:p>
      <w:pPr>
        <w:spacing w:after="100"/>
      </w:pPr>
      <w:r>
        <w:t>________________________________________________________________________________</w:t>
      </w:r>
    </w:p>
    <w:p>
      <w:pPr>
        <w:spacing w:after="100"/>
      </w:pPr>
      <w:r>
        <w:t>________________________________________________________________________________</w:t>
      </w:r>
    </w:p>
    <w:p>
      <w:pPr>
        <w:pStyle w:val="Heading1"/>
        <w:pageBreakBefore/>
      </w:pPr>
      <w:r>
        <w:t>Practice explaining the experience</w:t>
      </w:r>
    </w:p>
    <w:p>
      <w:pPr>
        <w:spacing w:after="100"/>
      </w:pPr>
      <w:r>
        <w:t>Choose a real or hypothetical role or graduate program. Name a requirement, academic interest, or learning goal that makes your example relevant. Prepare a 60–90 second response.</w:t>
      </w:r>
    </w:p>
    <w:p>
      <w:pPr>
        <w:keepNext/>
        <w:spacing w:after="20" w:before="100"/>
      </w:pPr>
      <w:r>
        <w:rPr>
          <w:b/>
          <w:sz w:val="19"/>
        </w:rPr>
        <w:t>Employer prompt:</w:t>
      </w:r>
    </w:p>
    <w:p>
      <w:pPr>
        <w:keepLines/>
        <w:spacing w:after="100"/>
        <w:ind w:left="216"/>
      </w:pPr>
      <w:r>
        <w:t>Describe a time you helped a group reach a goal while responding to different needs.</w:t>
      </w:r>
    </w:p>
    <w:p>
      <w:pPr>
        <w:keepNext/>
        <w:spacing w:after="20" w:before="100"/>
      </w:pPr>
      <w:r>
        <w:rPr>
          <w:b/>
          <w:sz w:val="19"/>
        </w:rPr>
        <w:t>Graduate school prompt:</w:t>
      </w:r>
    </w:p>
    <w:p>
      <w:pPr>
        <w:keepLines/>
        <w:spacing w:after="100"/>
        <w:ind w:left="216"/>
      </w:pPr>
      <w:r>
        <w:t>Tell me about a leadership experience that shaped how you would contribute to a graduate community.</w:t>
      </w:r>
    </w:p>
    <w:p>
      <w:pPr>
        <w:pStyle w:val="Heading2"/>
      </w:pPr>
      <w:r>
        <w:t>Build your STAR answer</w:t>
      </w:r>
    </w:p>
    <w:p>
      <w:pPr>
        <w:spacing w:after="100"/>
      </w:pPr>
      <w:r>
        <w:t>S — Situation: Where were you, and what challenge or opportunity arose? T — Task: What was your specific responsibility or goal? A — Action: What steps did you personally take, and why? R — Result: What happened as a result? Describe the evidence and what you learned. After STAR, add a brief relevance statement: How does this example prepare you for the role or academic work?</w:t>
      </w:r>
    </w:p>
    <w:p>
      <w:pPr>
        <w:pStyle w:val="Heading2"/>
      </w:pPr>
      <w:r>
        <w:t>Two examples based on the fictional case</w:t>
      </w:r>
    </w:p>
    <w:p>
      <w:pPr>
        <w:keepNext/>
        <w:spacing w:after="20" w:before="100"/>
      </w:pPr>
      <w:r>
        <w:rPr>
          <w:b/>
          <w:sz w:val="19"/>
        </w:rPr>
        <w:t>Employer version:</w:t>
      </w:r>
    </w:p>
    <w:p>
      <w:pPr>
        <w:keepLines/>
        <w:spacing w:after="100"/>
        <w:ind w:left="216"/>
      </w:pPr>
      <w:r>
        <w:t>While helping plan a student event, I learned that our registration process and timing created barriers. My responsibility was to help the committee revise participation arrangements and coordinate follow-up. I gathered feedback, brought options to the committee, and coordinated follow-up around members’ strengths. We revised registration and added another participation route. This developed my leadership and inclusive planning, which I would bring to coordinating projects with different stakeholders.</w:t>
      </w:r>
    </w:p>
    <w:p>
      <w:pPr>
        <w:keepNext/>
        <w:spacing w:after="20" w:before="100"/>
      </w:pPr>
      <w:r>
        <w:rPr>
          <w:b/>
          <w:sz w:val="19"/>
        </w:rPr>
        <w:t>Graduate school version:</w:t>
      </w:r>
    </w:p>
    <w:p>
      <w:pPr>
        <w:keepLines/>
        <w:spacing w:after="100"/>
        <w:ind w:left="216"/>
      </w:pPr>
      <w:r>
        <w:t>A student event taught me that organizing a program requires listening to people whose needs are missing from the original plan. My responsibility was to help the committee revise participation arrangements and coordinate follow-up. I gathered feedback, helped the committee revise registration, and coordinated follow-up. I learned to translate feedback into changes and share responsibility. I would use that approach in collaborative graduate work and community activities.</w:t>
      </w:r>
    </w:p>
    <w:p>
      <w:pPr>
        <w:pStyle w:val="Heading2"/>
      </w:pPr>
      <w:r>
        <w:t>Practice and revise</w:t>
      </w:r>
    </w:p>
    <w:p>
      <w:pPr>
        <w:spacing w:after="100"/>
      </w:pPr>
      <w:r>
        <w:t>Draft for 3 minutes. Partner A speaks and receives feedback for 3 minutes; swap for 3 minutes. Revise for 2 minutes. Use the final 3 minutes for both revised answers. Spoken practice can be replaced by an equivalent accessible format agreed with the facilitator.</w:t>
      </w:r>
    </w:p>
    <w:tbl>
      <w:tblPr>
        <w:tblW w:type="auto" w:w="0"/>
        <w:tblLayout w:type="fixed"/>
        <w:tblLook w:firstColumn="1" w:firstRow="1" w:lastColumn="0" w:lastRow="0" w:noHBand="0" w:noVBand="1" w:val="04A0"/>
      </w:tblPr>
      <w:tblGrid>
        <w:gridCol w:w="2160"/>
        <w:gridCol w:w="8064"/>
      </w:tblGrid>
      <w:tr>
        <w:trPr>
          <w:cantSplit/>
          <w:tblHeader/>
        </w:trPr>
        <w:tc>
          <w:tcPr>
            <w:tcW w:type="dxa" w:w="2160"/>
            <w:tcBorders>
              <w:top w:val="single" w:sz="4" w:color="D9D9D9"/>
              <w:bottom w:val="single" w:sz="4" w:color="D9D9D9"/>
              <w:left w:val="single" w:sz="4" w:color="D9D9D9"/>
              <w:right w:val="single" w:sz="4" w:color="D9D9D9"/>
            </w:tcBorders>
            <w:shd w:fill="E6EBEE"/>
          </w:tcPr>
          <w:p>
            <w:pPr>
              <w:spacing w:before="80" w:after="80"/>
            </w:pPr>
            <w:r>
              <w:rPr>
                <w:b/>
                <w:sz w:val="18"/>
              </w:rPr>
              <w:t>Check</w:t>
            </w:r>
          </w:p>
        </w:tc>
        <w:tc>
          <w:tcPr>
            <w:tcW w:type="dxa" w:w="8064"/>
            <w:tcBorders>
              <w:top w:val="single" w:sz="4" w:color="D9D9D9"/>
              <w:bottom w:val="single" w:sz="4" w:color="D9D9D9"/>
              <w:left w:val="single" w:sz="4" w:color="D9D9D9"/>
              <w:right w:val="single" w:sz="4" w:color="D9D9D9"/>
            </w:tcBorders>
            <w:shd w:fill="E6EBEE"/>
          </w:tcPr>
          <w:p>
            <w:pPr>
              <w:spacing w:before="80" w:after="80"/>
            </w:pPr>
            <w:r>
              <w:rPr>
                <w:b/>
                <w:sz w:val="18"/>
              </w:rPr>
              <w:t>What adequate evidence looks like</w:t>
            </w:r>
          </w:p>
        </w:tc>
      </w:tr>
      <w:tr>
        <w:trPr>
          <w:cantSplit/>
        </w:trPr>
        <w:tc>
          <w:tcPr>
            <w:tcW w:type="dxa" w:w="2160"/>
            <w:tcBorders>
              <w:top w:val="single" w:sz="4" w:color="D9D9D9"/>
              <w:bottom w:val="single" w:sz="4" w:color="D9D9D9"/>
              <w:left w:val="single" w:sz="4" w:color="D9D9D9"/>
              <w:right w:val="single" w:sz="4" w:color="D9D9D9"/>
            </w:tcBorders>
            <w:shd w:fill="FFFFFF"/>
          </w:tcPr>
          <w:p>
            <w:pPr>
              <w:spacing w:before="80" w:after="80"/>
            </w:pPr>
            <w:r>
              <w:rPr>
                <w:b w:val="0"/>
                <w:sz w:val="18"/>
              </w:rPr>
              <w:t>Situation and Task</w:t>
            </w:r>
          </w:p>
        </w:tc>
        <w:tc>
          <w:tcPr>
            <w:tcW w:type="dxa" w:w="8064"/>
            <w:tcBorders>
              <w:top w:val="single" w:sz="4" w:color="D9D9D9"/>
              <w:bottom w:val="single" w:sz="4" w:color="D9D9D9"/>
              <w:left w:val="single" w:sz="4" w:color="D9D9D9"/>
              <w:right w:val="single" w:sz="4" w:color="D9D9D9"/>
            </w:tcBorders>
            <w:shd w:fill="FFFFFF"/>
          </w:tcPr>
          <w:p>
            <w:pPr>
              <w:spacing w:before="80" w:after="80"/>
            </w:pPr>
            <w:r>
              <w:rPr>
                <w:b w:val="0"/>
                <w:sz w:val="18"/>
              </w:rPr>
              <w:t>The setting is clear, and the student distinguishes their responsibility from the broader challenge.</w:t>
            </w:r>
          </w:p>
        </w:tc>
      </w:tr>
      <w:tr>
        <w:trPr>
          <w:cantSplit/>
        </w:trPr>
        <w:tc>
          <w:tcPr>
            <w:tcW w:type="dxa" w:w="2160"/>
            <w:tcBorders>
              <w:top w:val="single" w:sz="4" w:color="D9D9D9"/>
              <w:bottom w:val="single" w:sz="4" w:color="D9D9D9"/>
              <w:left w:val="single" w:sz="4" w:color="D9D9D9"/>
              <w:right w:val="single" w:sz="4" w:color="D9D9D9"/>
            </w:tcBorders>
            <w:shd w:fill="F5F5F5"/>
          </w:tcPr>
          <w:p>
            <w:pPr>
              <w:spacing w:before="80" w:after="80"/>
            </w:pPr>
            <w:r>
              <w:rPr>
                <w:b w:val="0"/>
                <w:sz w:val="18"/>
              </w:rPr>
              <w:t>Personal contribution</w:t>
            </w:r>
          </w:p>
        </w:tc>
        <w:tc>
          <w:tcPr>
            <w:tcW w:type="dxa" w:w="8064"/>
            <w:tcBorders>
              <w:top w:val="single" w:sz="4" w:color="D9D9D9"/>
              <w:bottom w:val="single" w:sz="4" w:color="D9D9D9"/>
              <w:left w:val="single" w:sz="4" w:color="D9D9D9"/>
              <w:right w:val="single" w:sz="4" w:color="D9D9D9"/>
            </w:tcBorders>
            <w:shd w:fill="F5F5F5"/>
          </w:tcPr>
          <w:p>
            <w:pPr>
              <w:spacing w:before="80" w:after="80"/>
            </w:pPr>
            <w:r>
              <w:rPr>
                <w:b w:val="0"/>
                <w:sz w:val="18"/>
              </w:rPr>
              <w:t>A listener can identify what this student did, not only what the group accomplished.</w:t>
            </w:r>
          </w:p>
        </w:tc>
      </w:tr>
      <w:tr>
        <w:trPr>
          <w:cantSplit/>
        </w:trPr>
        <w:tc>
          <w:tcPr>
            <w:tcW w:type="dxa" w:w="2160"/>
            <w:tcBorders>
              <w:top w:val="single" w:sz="4" w:color="D9D9D9"/>
              <w:bottom w:val="single" w:sz="4" w:color="D9D9D9"/>
              <w:left w:val="single" w:sz="4" w:color="D9D9D9"/>
              <w:right w:val="single" w:sz="4" w:color="D9D9D9"/>
            </w:tcBorders>
            <w:shd w:fill="FFFFFF"/>
          </w:tcPr>
          <w:p>
            <w:pPr>
              <w:spacing w:before="80" w:after="80"/>
            </w:pPr>
            <w:r>
              <w:rPr>
                <w:b w:val="0"/>
                <w:sz w:val="18"/>
              </w:rPr>
              <w:t>Competency connection</w:t>
            </w:r>
          </w:p>
        </w:tc>
        <w:tc>
          <w:tcPr>
            <w:tcW w:type="dxa" w:w="8064"/>
            <w:tcBorders>
              <w:top w:val="single" w:sz="4" w:color="D9D9D9"/>
              <w:bottom w:val="single" w:sz="4" w:color="D9D9D9"/>
              <w:left w:val="single" w:sz="4" w:color="D9D9D9"/>
              <w:right w:val="single" w:sz="4" w:color="D9D9D9"/>
            </w:tcBorders>
            <w:shd w:fill="FFFFFF"/>
          </w:tcPr>
          <w:p>
            <w:pPr>
              <w:spacing w:before="80" w:after="80"/>
            </w:pPr>
            <w:r>
              <w:rPr>
                <w:b w:val="0"/>
                <w:sz w:val="18"/>
              </w:rPr>
              <w:t>A personal action connects convincingly to a relevant NACE behavior, with supporting detail.</w:t>
            </w:r>
          </w:p>
        </w:tc>
      </w:tr>
      <w:tr>
        <w:trPr>
          <w:cantSplit/>
        </w:trPr>
        <w:tc>
          <w:tcPr>
            <w:tcW w:type="dxa" w:w="2160"/>
            <w:tcBorders>
              <w:top w:val="single" w:sz="4" w:color="D9D9D9"/>
              <w:bottom w:val="single" w:sz="4" w:color="D9D9D9"/>
              <w:left w:val="single" w:sz="4" w:color="D9D9D9"/>
              <w:right w:val="single" w:sz="4" w:color="D9D9D9"/>
            </w:tcBorders>
            <w:shd w:fill="F5F5F5"/>
          </w:tcPr>
          <w:p>
            <w:pPr>
              <w:spacing w:before="80" w:after="80"/>
            </w:pPr>
            <w:r>
              <w:rPr>
                <w:b w:val="0"/>
                <w:sz w:val="18"/>
              </w:rPr>
              <w:t>Outcome and learning</w:t>
            </w:r>
          </w:p>
        </w:tc>
        <w:tc>
          <w:tcPr>
            <w:tcW w:type="dxa" w:w="8064"/>
            <w:tcBorders>
              <w:top w:val="single" w:sz="4" w:color="D9D9D9"/>
              <w:bottom w:val="single" w:sz="4" w:color="D9D9D9"/>
              <w:left w:val="single" w:sz="4" w:color="D9D9D9"/>
              <w:right w:val="single" w:sz="4" w:color="D9D9D9"/>
            </w:tcBorders>
            <w:shd w:fill="F5F5F5"/>
          </w:tcPr>
          <w:p>
            <w:pPr>
              <w:spacing w:before="80" w:after="80"/>
            </w:pPr>
            <w:r>
              <w:rPr>
                <w:b w:val="0"/>
                <w:sz w:val="18"/>
              </w:rPr>
              <w:t>The account includes an honest result, feedback, revision, or insight.</w:t>
            </w:r>
          </w:p>
        </w:tc>
      </w:tr>
      <w:tr>
        <w:trPr>
          <w:cantSplit/>
        </w:trPr>
        <w:tc>
          <w:tcPr>
            <w:tcW w:type="dxa" w:w="2160"/>
            <w:tcBorders>
              <w:top w:val="single" w:sz="4" w:color="D9D9D9"/>
              <w:bottom w:val="single" w:sz="4" w:color="D9D9D9"/>
              <w:left w:val="single" w:sz="4" w:color="D9D9D9"/>
              <w:right w:val="single" w:sz="4" w:color="D9D9D9"/>
            </w:tcBorders>
            <w:shd w:fill="FFFFFF"/>
          </w:tcPr>
          <w:p>
            <w:pPr>
              <w:spacing w:before="80" w:after="80"/>
            </w:pPr>
            <w:r>
              <w:rPr>
                <w:b w:val="0"/>
                <w:sz w:val="18"/>
              </w:rPr>
              <w:t>Audience relevance</w:t>
            </w:r>
          </w:p>
        </w:tc>
        <w:tc>
          <w:tcPr>
            <w:tcW w:type="dxa" w:w="8064"/>
            <w:tcBorders>
              <w:top w:val="single" w:sz="4" w:color="D9D9D9"/>
              <w:bottom w:val="single" w:sz="4" w:color="D9D9D9"/>
              <w:left w:val="single" w:sz="4" w:color="D9D9D9"/>
              <w:right w:val="single" w:sz="4" w:color="D9D9D9"/>
            </w:tcBorders>
            <w:shd w:fill="FFFFFF"/>
          </w:tcPr>
          <w:p>
            <w:pPr>
              <w:spacing w:before="80" w:after="80"/>
            </w:pPr>
            <w:r>
              <w:rPr>
                <w:b w:val="0"/>
                <w:sz w:val="18"/>
              </w:rPr>
              <w:t>The student connects the example to a role requirement or graduate-learning goal.</w:t>
            </w:r>
          </w:p>
        </w:tc>
      </w:tr>
    </w:tbl>
    <w:p>
      <w:pPr>
        <w:spacing w:after="100"/>
      </w:pPr>
      <w:r>
        <w:t>Feedback sentence: “I heard you describe ______. That supports ______ because ______. I would understand the relevance better if you added ______.”</w:t>
      </w:r>
    </w:p>
    <w:p>
      <w:pPr>
        <w:spacing w:after="100"/>
      </w:pPr>
      <w:r>
        <w:t>Exit ticket: Keep your revised answer, describe one change made after feedback, and name a growth action with a date or feedback source.</w:t>
      </w:r>
    </w:p>
    <w:p>
      <w:pPr>
        <w:pStyle w:val="Heading1"/>
        <w:pageBreakBefore/>
      </w:pPr>
      <w:r>
        <w:t>Closing quiz instructor key</w:t>
      </w:r>
    </w:p>
    <w:p>
      <w:pPr>
        <w:spacing w:after="100"/>
      </w:pPr>
      <w:r>
        <w:t>Correct answers are labeled for the facilitator. Copy the questions into Kahoot or read them with A/B/C/D responses. Read the explanation after students respond; keep this key separate from student handouts.</w:t>
      </w:r>
    </w:p>
    <w:p>
      <w:pPr>
        <w:spacing w:after="100"/>
      </w:pPr>
      <w:r>
        <w:rPr>
          <w:b/>
        </w:rPr>
        <w:t>1  Which statement provides the strongest evidence of teamwork?</w:t>
      </w:r>
    </w:p>
    <w:p>
      <w:pPr>
        <w:spacing w:after="20"/>
        <w:ind w:left="216"/>
      </w:pPr>
      <w:r>
        <w:t>A  I am a team player</w:t>
      </w:r>
    </w:p>
    <w:p>
      <w:pPr>
        <w:spacing w:after="20"/>
        <w:ind w:left="216"/>
      </w:pPr>
      <w:r>
        <w:t>B  I belong to three organizations</w:t>
      </w:r>
    </w:p>
    <w:p>
      <w:pPr>
        <w:spacing w:after="20"/>
        <w:ind w:left="216"/>
      </w:pPr>
      <w:r>
        <w:t>C  I agreed on roles with teammates and followed through on my tasks</w:t>
      </w:r>
    </w:p>
    <w:p>
      <w:pPr>
        <w:spacing w:after="20"/>
        <w:ind w:left="216"/>
      </w:pPr>
      <w:r>
        <w:t>D  I prefer working with others</w:t>
      </w:r>
    </w:p>
    <w:p>
      <w:pPr>
        <w:spacing w:after="100"/>
      </w:pPr>
      <w:r>
        <w:rPr>
          <w:b/>
        </w:rPr>
        <w:t>Correct answer  C — Evidence describes actions, rather than a preference or membership.</w:t>
      </w:r>
    </w:p>
    <w:p>
      <w:pPr>
        <w:spacing w:after="100"/>
      </w:pPr>
      <w:r>
        <w:rPr>
          <w:b/>
        </w:rPr>
        <w:t>2  A student compares sources to choose a solution. Which competency is most directly demonstrated?</w:t>
      </w:r>
    </w:p>
    <w:p>
      <w:pPr>
        <w:spacing w:after="20"/>
        <w:ind w:left="216"/>
      </w:pPr>
      <w:r>
        <w:t>A  Critical Thinking</w:t>
      </w:r>
    </w:p>
    <w:p>
      <w:pPr>
        <w:spacing w:after="20"/>
        <w:ind w:left="216"/>
      </w:pPr>
      <w:r>
        <w:t>B  Technology</w:t>
      </w:r>
    </w:p>
    <w:p>
      <w:pPr>
        <w:spacing w:after="20"/>
        <w:ind w:left="216"/>
      </w:pPr>
      <w:r>
        <w:t>C  Professionalism</w:t>
      </w:r>
    </w:p>
    <w:p>
      <w:pPr>
        <w:spacing w:after="20"/>
        <w:ind w:left="216"/>
      </w:pPr>
      <w:r>
        <w:t>D  Career and Self-Development</w:t>
      </w:r>
    </w:p>
    <w:p>
      <w:pPr>
        <w:spacing w:after="100"/>
      </w:pPr>
      <w:r>
        <w:rPr>
          <w:b/>
        </w:rPr>
        <w:t>Correct answer  A — Evaluating information to support a decision demonstrates critical thinking.</w:t>
      </w:r>
    </w:p>
    <w:p>
      <w:pPr>
        <w:spacing w:after="100"/>
      </w:pPr>
      <w:r>
        <w:rPr>
          <w:b/>
        </w:rPr>
        <w:t>3  Which action most directly demonstrates communication?</w:t>
      </w:r>
    </w:p>
    <w:p>
      <w:pPr>
        <w:spacing w:after="20"/>
        <w:ind w:left="216"/>
      </w:pPr>
      <w:r>
        <w:t>A  Buying a new laptop</w:t>
      </w:r>
    </w:p>
    <w:p>
      <w:pPr>
        <w:spacing w:after="20"/>
        <w:ind w:left="216"/>
      </w:pPr>
      <w:r>
        <w:t>B  Choosing a major</w:t>
      </w:r>
    </w:p>
    <w:p>
      <w:pPr>
        <w:spacing w:after="20"/>
        <w:ind w:left="216"/>
      </w:pPr>
      <w:r>
        <w:t>C  Arriving early</w:t>
      </w:r>
    </w:p>
    <w:p>
      <w:pPr>
        <w:spacing w:after="20"/>
        <w:ind w:left="216"/>
      </w:pPr>
      <w:r>
        <w:t>D  Checking that others understood the project instructions</w:t>
      </w:r>
    </w:p>
    <w:p>
      <w:pPr>
        <w:spacing w:after="100"/>
      </w:pPr>
      <w:r>
        <w:rPr>
          <w:b/>
        </w:rPr>
        <w:t>Correct answer  D — Checking shared understanding is a communication behavior.</w:t>
      </w:r>
    </w:p>
    <w:p>
      <w:pPr>
        <w:spacing w:after="100"/>
      </w:pPr>
      <w:r>
        <w:rPr>
          <w:b/>
        </w:rPr>
        <w:t>4  Jordan addresses participation barriers after listening to students. Which competency is the strongest fit?</w:t>
      </w:r>
    </w:p>
    <w:p>
      <w:pPr>
        <w:spacing w:after="20"/>
        <w:ind w:left="216"/>
      </w:pPr>
      <w:r>
        <w:t>A  Equity and Inclusion</w:t>
      </w:r>
    </w:p>
    <w:p>
      <w:pPr>
        <w:spacing w:after="20"/>
        <w:ind w:left="216"/>
      </w:pPr>
      <w:r>
        <w:t>B  Technology because registration is online</w:t>
      </w:r>
    </w:p>
    <w:p>
      <w:pPr>
        <w:spacing w:after="20"/>
        <w:ind w:left="216"/>
      </w:pPr>
      <w:r>
        <w:t>C  Leadership solely because Jordan is an officer</w:t>
      </w:r>
    </w:p>
    <w:p>
      <w:pPr>
        <w:spacing w:after="20"/>
        <w:ind w:left="216"/>
      </w:pPr>
      <w:r>
        <w:t>D  Professionalism because the event has a schedule</w:t>
      </w:r>
    </w:p>
    <w:p>
      <w:pPr>
        <w:spacing w:after="100"/>
      </w:pPr>
      <w:r>
        <w:rPr>
          <w:b/>
        </w:rPr>
        <w:t>Correct answer  A — Equity and Inclusion: listening to perspectives and addressing participation barriers. Other connections require their own evidence.</w:t>
      </w:r>
    </w:p>
    <w:p>
      <w:pPr>
        <w:pStyle w:val="Heading1"/>
        <w:pageBreakBefore/>
      </w:pPr>
      <w:r>
        <w:t>Closing quiz instructor key continued</w:t>
      </w:r>
    </w:p>
    <w:p>
      <w:pPr>
        <w:spacing w:after="100"/>
      </w:pPr>
      <w:r>
        <w:rPr>
          <w:b/>
        </w:rPr>
        <w:t>5  Which explanation best connects an experience to a competency?</w:t>
      </w:r>
    </w:p>
    <w:p>
      <w:pPr>
        <w:spacing w:after="20"/>
        <w:ind w:left="216"/>
      </w:pPr>
      <w:r>
        <w:t>A  The experience title proves the skill</w:t>
      </w:r>
    </w:p>
    <w:p>
      <w:pPr>
        <w:spacing w:after="20"/>
        <w:ind w:left="216"/>
      </w:pPr>
      <w:r>
        <w:t>B  A specific personal action plus evidence and an explanation</w:t>
      </w:r>
    </w:p>
    <w:p>
      <w:pPr>
        <w:spacing w:after="20"/>
        <w:ind w:left="216"/>
      </w:pPr>
      <w:r>
        <w:t>C  A list of all eight competencies without examples</w:t>
      </w:r>
    </w:p>
    <w:p>
      <w:pPr>
        <w:spacing w:after="20"/>
        <w:ind w:left="216"/>
      </w:pPr>
      <w:r>
        <w:t>D  A claim that the entire team succeeded</w:t>
      </w:r>
    </w:p>
    <w:p>
      <w:pPr>
        <w:spacing w:after="100"/>
      </w:pPr>
      <w:r>
        <w:rPr>
          <w:b/>
        </w:rPr>
        <w:t>Correct answer  B — A defensible connection identifies the student’s action and explains what supports the claim.</w:t>
      </w:r>
    </w:p>
    <w:p>
      <w:pPr>
        <w:spacing w:after="100"/>
      </w:pPr>
      <w:r>
        <w:rPr>
          <w:b/>
        </w:rPr>
        <w:t>6  What should change when explaining the same experience to a graduate-school audience?</w:t>
      </w:r>
    </w:p>
    <w:p>
      <w:pPr>
        <w:spacing w:after="20"/>
        <w:ind w:left="216"/>
      </w:pPr>
      <w:r>
        <w:t>A  Invent a more impressive result</w:t>
      </w:r>
    </w:p>
    <w:p>
      <w:pPr>
        <w:spacing w:after="20"/>
        <w:ind w:left="216"/>
      </w:pPr>
      <w:r>
        <w:t>B  Remove all reference to personal actions</w:t>
      </w:r>
    </w:p>
    <w:p>
      <w:pPr>
        <w:spacing w:after="20"/>
        <w:ind w:left="216"/>
      </w:pPr>
      <w:r>
        <w:t>C  Connect the learning to academic questions and readiness for advanced study</w:t>
      </w:r>
    </w:p>
    <w:p>
      <w:pPr>
        <w:spacing w:after="20"/>
        <w:ind w:left="216"/>
      </w:pPr>
      <w:r>
        <w:t>D  Use the same generic closing for every program</w:t>
      </w:r>
    </w:p>
    <w:p>
      <w:pPr>
        <w:spacing w:after="100"/>
      </w:pPr>
      <w:r>
        <w:rPr>
          <w:b/>
        </w:rPr>
        <w:t>Correct answer  C — Keep the facts accurate and adapt the relevance to the program and purpose.</w:t>
      </w:r>
    </w:p>
    <w:p>
      <w:pPr>
        <w:spacing w:after="100"/>
      </w:pPr>
      <w:r>
        <w:rPr>
          <w:b/>
        </w:rPr>
        <w:t>7  You cannot show a successful final result. What is the most useful response?</w:t>
      </w:r>
    </w:p>
    <w:p>
      <w:pPr>
        <w:spacing w:after="20"/>
        <w:ind w:left="216"/>
      </w:pPr>
      <w:r>
        <w:t>A  State an honest outcome, feedback, or learning and explain your next step</w:t>
      </w:r>
    </w:p>
    <w:p>
      <w:pPr>
        <w:spacing w:after="20"/>
        <w:ind w:left="216"/>
      </w:pPr>
      <w:r>
        <w:t>B  Make up a percentage improvement</w:t>
      </w:r>
    </w:p>
    <w:p>
      <w:pPr>
        <w:spacing w:after="20"/>
        <w:ind w:left="216"/>
      </w:pPr>
      <w:r>
        <w:t>C  Avoid describing what you personally did</w:t>
      </w:r>
    </w:p>
    <w:p>
      <w:pPr>
        <w:spacing w:after="20"/>
        <w:ind w:left="216"/>
      </w:pPr>
      <w:r>
        <w:t>D  Say the experience taught every competency equally</w:t>
      </w:r>
    </w:p>
    <w:p>
      <w:pPr>
        <w:spacing w:after="100"/>
      </w:pPr>
      <w:r>
        <w:rPr>
          <w:b/>
        </w:rPr>
        <w:t>Correct answer  A — Reflection can draw evidence from learning and revision without inventing success.</w:t>
      </w:r>
    </w:p>
    <w:p>
      <w:pPr>
        <w:spacing w:after="100"/>
      </w:pPr>
      <w:r>
        <w:rPr>
          <w:b/>
        </w:rPr>
        <w:t>8  Which response best uses peer feedback?</w:t>
      </w:r>
    </w:p>
    <w:p>
      <w:pPr>
        <w:spacing w:after="20"/>
        <w:ind w:left="216"/>
      </w:pPr>
      <w:r>
        <w:t>A  Memorize the competency definition only</w:t>
      </w:r>
    </w:p>
    <w:p>
      <w:pPr>
        <w:spacing w:after="20"/>
        <w:ind w:left="216"/>
      </w:pPr>
      <w:r>
        <w:t>B  Keep the first answer even if it is unclear</w:t>
      </w:r>
    </w:p>
    <w:p>
      <w:pPr>
        <w:spacing w:after="20"/>
        <w:ind w:left="216"/>
      </w:pPr>
      <w:r>
        <w:t>C  Add more labels without evidence</w:t>
      </w:r>
    </w:p>
    <w:p>
      <w:pPr>
        <w:spacing w:after="20"/>
        <w:ind w:left="216"/>
      </w:pPr>
      <w:r>
        <w:t>D  Revise the example, explain its relevance, and practice it again</w:t>
      </w:r>
    </w:p>
    <w:p>
      <w:pPr>
        <w:spacing w:after="100"/>
      </w:pPr>
      <w:r>
        <w:rPr>
          <w:b/>
        </w:rPr>
        <w:t>Correct answer  D — A stronger explanation improves through evidence, audience relevance, and another attempt.</w:t>
      </w:r>
    </w:p>
    <w:p>
      <w:pPr>
        <w:pStyle w:val="Heading1"/>
        <w:pageBreakBefore/>
      </w:pPr>
      <w:r>
        <w:t>Preparation resources and website alignment</w:t>
      </w:r>
    </w:p>
    <w:p>
      <w:pPr>
        <w:pStyle w:val="Heading2"/>
      </w:pPr>
      <w:r>
        <w:t>Preparation before the session</w:t>
      </w:r>
    </w:p>
    <w:p>
      <w:pPr>
        <w:spacing w:after="100"/>
      </w:pPr>
      <w:r>
        <w:t>Read NACE’s official definitions and sample behaviors, then the teaching background. Practice the sample explanation aloud. Print the Student reflection worksheet and Practice explaining the experience handouts. Make the competency teaching table available. Test the quiz method and choose a way to collect the exit ticket. Read the case and its debrief before teaching. For large groups, keep partner work in place rather than waiting for every group to report.</w:t>
      </w:r>
    </w:p>
    <w:p>
      <w:pPr>
        <w:pStyle w:val="Heading2"/>
      </w:pPr>
      <w:r>
        <w:t>Virtual and accessible delivery</w:t>
      </w:r>
    </w:p>
    <w:p>
      <w:pPr>
        <w:spacing w:after="100"/>
      </w:pPr>
      <w:r>
        <w:t>Use private writing, chat or a shared document for the opening; pairs or a private alternative for practice; and a poll or typed A/B/C/D answers for the quiz. Read prompts aloud and allow processing time. Students may anonymize details or work from the fictional case. Assessment concerns evidence and reasoning, not accent, confidence, disability-related presentation differences, or access to prestigious experiences.</w:t>
      </w:r>
    </w:p>
    <w:p>
      <w:pPr>
        <w:pStyle w:val="Heading2"/>
      </w:pPr>
      <w:r>
        <w:t>Relevant Rutgers support</w:t>
      </w:r>
    </w:p>
    <w:p>
      <w:pPr>
        <w:spacing w:after="100"/>
      </w:pPr>
      <w:r>
        <w:t>Student leadership resources: https://careers.rutgers.edu/campus-partners/explore-role</w:t>
      </w:r>
    </w:p>
    <w:p>
      <w:pPr>
        <w:spacing w:after="100"/>
      </w:pPr>
      <w:r>
        <w:t>CES advising and resources: https://careers.rutgers.edu/students-and-alumni</w:t>
      </w:r>
    </w:p>
    <w:p>
      <w:pPr>
        <w:spacing w:after="100"/>
      </w:pPr>
      <w:r>
        <w:t>These workshop activities do not automatically qualify for We R Career-Ready Challenge points or rewards. Use the current partner and student guidance before making any participation claim.</w:t>
      </w:r>
    </w:p>
    <w:p>
      <w:pPr>
        <w:pStyle w:val="Heading2"/>
      </w:pPr>
      <w:r>
        <w:t>Website language checked</w:t>
      </w:r>
    </w:p>
    <w:p>
      <w:pPr>
        <w:spacing w:after="100"/>
      </w:pPr>
      <w:r>
        <w:t>Reviewed November 1, 2026. The guides retain CES’s emphasis on recognizing learning, reflecting on experience, and explaining evidence. Interview practice follows the site’s emphasis on a specific, honest example. STAR is used at the user’s request and supported by the linked Rutgers Newark resource. Learning and audience relevance extend the practice beyond a basic interview answer. The local terminology difference is noted in the facilitator background.</w:t>
      </w:r>
    </w:p>
    <w:p>
      <w:pPr>
        <w:pStyle w:val="Heading2"/>
      </w:pPr>
      <w:r>
        <w:t>Sources and adaptation</w:t>
      </w:r>
    </w:p>
    <w:p>
      <w:pPr>
        <w:spacing w:after="100"/>
      </w:pPr>
      <w:r>
        <w:t>CES Campus Partners: https://careers.rutgers.edu/campus-partners</w:t>
      </w:r>
    </w:p>
    <w:p>
      <w:pPr>
        <w:spacing w:after="100"/>
      </w:pPr>
      <w:r>
        <w:t>CES Find Your Role: https://careers.rutgers.edu/campus-partners/explore-role</w:t>
      </w:r>
    </w:p>
    <w:p>
      <w:pPr>
        <w:spacing w:after="100"/>
      </w:pPr>
      <w:r>
        <w:t>CES Roadmap and Frameworks: https://careers.rutgers.edu/campus-partners/strategicplan-2030</w:t>
      </w:r>
    </w:p>
    <w:p>
      <w:pPr>
        <w:spacing w:after="100"/>
      </w:pPr>
      <w:r>
        <w:t>CES Becoming Career Ready: https://careers.rutgers.edu/news/becoming-career-ready</w:t>
      </w:r>
    </w:p>
    <w:p>
      <w:pPr>
        <w:spacing w:after="100"/>
      </w:pPr>
      <w:r>
        <w:t>CES Are You Ready for a Behavioral Interview: https://careers.rutgers.edu/news/are-you-ready-behavioral-interview</w:t>
      </w:r>
    </w:p>
    <w:p>
      <w:pPr>
        <w:spacing w:after="100"/>
      </w:pPr>
      <w:r>
        <w:t>Rutgers Newark STAR Method: https://cdn.careers.newark.rutgers.edu/wp-content/uploads/sites/90/2022/07/STAR-Method.pdf</w:t>
      </w:r>
    </w:p>
    <w:p>
      <w:pPr>
        <w:spacing w:after="100"/>
      </w:pPr>
      <w:r>
        <w:t>CES Authoring Your Value Personal Statement: https://careers.rutgers.edu/news/authoring-your-value-personal-statement</w:t>
      </w:r>
    </w:p>
    <w:p>
      <w:pPr>
        <w:spacing w:after="100"/>
      </w:pPr>
      <w:r>
        <w:t>NACE competency definitions and behaviors: https://www.naceweb.org/career-readiness/competencies/career-readiness-defined</w:t>
      </w:r>
    </w:p>
    <w:p>
      <w:pPr>
        <w:spacing w:after="100"/>
      </w:pPr>
      <w:r>
        <w:t>Source materials: CES Presentation Library, 2025 CORE_Transferable Skills.pptx and NACE &amp; Suitable Overview 2026.pptx; Professional Skills Self Reflection.pdf, courtesy of Michele Baran, Life Design Solutions, LLC. Cases, scripts, responses, and activities are instructional adaptations; fictional examples are not actual Rutgers outcomes.</w:t>
      </w:r>
    </w:p>
    <w:sectPr w:rsidR="00FC693F" w:rsidRPr="0006063C" w:rsidSect="00034616">
      <w:footerReference w:type="default" r:id="rId9"/>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7"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Arial" w:hAnsi="Arial"/>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before="180"/>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line="247" w:lineRule="auto"/>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0" w:line="247" w:lineRule="auto"/>
      <w:contextualSpacing/>
    </w:pPr>
    <w:rPr>
      <w:rFonts w:ascii="Arial" w:hAnsi="Arial"/>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Career Readiness Through Student Leadership</dc:title>
  <dc:subject/>
  <dc:creator>Career Exploration and Success</dc:creator>
  <cp:keywords/>
  <dc:description>generated by python-docx</dc:description>
  <cp:lastModifiedBy/>
  <cp:revision>1</cp:revision>
  <dcterms:created xsi:type="dcterms:W3CDTF">2013-12-23T23:15:00Z</dcterms:created>
  <dcterms:modified xsi:type="dcterms:W3CDTF">2013-12-23T23:15:00Z</dcterms:modified>
  <cp:category/>
</cp:coreProperties>
</file>